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2EA74" w14:textId="23F8125B" w:rsidR="007E31FB" w:rsidRDefault="007E31FB" w:rsidP="00F51B06">
      <w:pPr>
        <w:spacing w:line="240" w:lineRule="auto"/>
        <w:jc w:val="right"/>
        <w:rPr>
          <w:rFonts w:ascii="Calibri" w:hAnsi="Calibri" w:cs="Calibri"/>
        </w:rPr>
      </w:pPr>
      <w:r w:rsidRPr="007E31FB">
        <w:rPr>
          <w:rFonts w:ascii="Calibri" w:hAnsi="Calibri" w:cs="Calibri"/>
        </w:rPr>
        <w:t xml:space="preserve">Kraków, </w:t>
      </w:r>
      <w:r w:rsidR="00AD096D">
        <w:rPr>
          <w:rFonts w:ascii="Calibri" w:hAnsi="Calibri" w:cs="Calibri"/>
        </w:rPr>
        <w:t>2</w:t>
      </w:r>
      <w:r w:rsidR="00D77C47">
        <w:rPr>
          <w:rFonts w:ascii="Calibri" w:hAnsi="Calibri" w:cs="Calibri"/>
        </w:rPr>
        <w:t xml:space="preserve"> lipca 2025 r.</w:t>
      </w:r>
    </w:p>
    <w:p w14:paraId="708D18B6" w14:textId="77777777" w:rsidR="007E31FB" w:rsidRPr="007E31FB" w:rsidRDefault="007E31FB" w:rsidP="007E31FB">
      <w:pPr>
        <w:spacing w:line="240" w:lineRule="auto"/>
        <w:jc w:val="right"/>
        <w:rPr>
          <w:rFonts w:ascii="Calibri" w:hAnsi="Calibri" w:cs="Calibri"/>
        </w:rPr>
      </w:pPr>
    </w:p>
    <w:p w14:paraId="41FEDD5D" w14:textId="77777777" w:rsidR="00334057" w:rsidRPr="00431FC0" w:rsidRDefault="00334057" w:rsidP="00334057">
      <w:pPr>
        <w:spacing w:after="120"/>
        <w:rPr>
          <w:b/>
          <w:bCs/>
          <w:color w:val="4472C4" w:themeColor="accent1"/>
          <w:sz w:val="28"/>
          <w:szCs w:val="28"/>
        </w:rPr>
      </w:pPr>
      <w:r>
        <w:rPr>
          <w:b/>
          <w:bCs/>
          <w:color w:val="4472C4" w:themeColor="accent1"/>
          <w:sz w:val="28"/>
          <w:szCs w:val="28"/>
        </w:rPr>
        <w:t>N</w:t>
      </w:r>
      <w:r w:rsidRPr="00431FC0">
        <w:rPr>
          <w:b/>
          <w:bCs/>
          <w:color w:val="4472C4" w:themeColor="accent1"/>
          <w:sz w:val="28"/>
          <w:szCs w:val="28"/>
        </w:rPr>
        <w:t xml:space="preserve">owe wytyczne do dyrektywy </w:t>
      </w:r>
      <w:r>
        <w:rPr>
          <w:b/>
          <w:bCs/>
          <w:color w:val="4472C4" w:themeColor="accent1"/>
          <w:sz w:val="28"/>
          <w:szCs w:val="28"/>
        </w:rPr>
        <w:t>budynkowej</w:t>
      </w:r>
      <w:r w:rsidRPr="00431FC0">
        <w:rPr>
          <w:b/>
          <w:bCs/>
          <w:color w:val="4472C4" w:themeColor="accent1"/>
          <w:sz w:val="28"/>
          <w:szCs w:val="28"/>
        </w:rPr>
        <w:t xml:space="preserve"> – </w:t>
      </w:r>
      <w:r>
        <w:rPr>
          <w:b/>
          <w:bCs/>
          <w:color w:val="4472C4" w:themeColor="accent1"/>
          <w:sz w:val="28"/>
          <w:szCs w:val="28"/>
        </w:rPr>
        <w:t>znamy konkrety</w:t>
      </w:r>
      <w:r w:rsidRPr="00431FC0">
        <w:rPr>
          <w:b/>
          <w:bCs/>
          <w:color w:val="4472C4" w:themeColor="accent1"/>
          <w:sz w:val="28"/>
          <w:szCs w:val="28"/>
        </w:rPr>
        <w:t xml:space="preserve"> w zakresie </w:t>
      </w:r>
      <w:r>
        <w:rPr>
          <w:b/>
          <w:bCs/>
          <w:color w:val="4472C4" w:themeColor="accent1"/>
          <w:sz w:val="28"/>
          <w:szCs w:val="28"/>
        </w:rPr>
        <w:t>energii dla budynków ZEB</w:t>
      </w:r>
    </w:p>
    <w:p w14:paraId="4A0BC088" w14:textId="4F16E2E2" w:rsidR="00334057" w:rsidRPr="00D649AF" w:rsidRDefault="00334057" w:rsidP="00334057">
      <w:pPr>
        <w:spacing w:after="120"/>
        <w:rPr>
          <w:b/>
          <w:bCs/>
        </w:rPr>
      </w:pPr>
      <w:r w:rsidRPr="008E47DC">
        <w:rPr>
          <w:b/>
          <w:bCs/>
        </w:rPr>
        <w:t xml:space="preserve">30 czerwca 2025 r. Komisja Europejska opublikowała pakiet wytycznych dotyczących wdrażania nowej dyrektywy </w:t>
      </w:r>
      <w:r w:rsidRPr="00D649AF">
        <w:rPr>
          <w:b/>
          <w:bCs/>
        </w:rPr>
        <w:t>budynkowej (</w:t>
      </w:r>
      <w:r w:rsidRPr="008E47DC">
        <w:rPr>
          <w:b/>
          <w:bCs/>
        </w:rPr>
        <w:t>EPBD</w:t>
      </w:r>
      <w:r w:rsidRPr="00D649AF">
        <w:rPr>
          <w:b/>
          <w:bCs/>
        </w:rPr>
        <w:t>)</w:t>
      </w:r>
      <w:r w:rsidRPr="008E47DC">
        <w:rPr>
          <w:b/>
          <w:bCs/>
        </w:rPr>
        <w:t xml:space="preserve">, w tym </w:t>
      </w:r>
      <w:r w:rsidR="00BA0D76">
        <w:rPr>
          <w:b/>
          <w:bCs/>
        </w:rPr>
        <w:t>ostateczną</w:t>
      </w:r>
      <w:r w:rsidRPr="008E47DC">
        <w:rPr>
          <w:b/>
          <w:bCs/>
        </w:rPr>
        <w:t xml:space="preserve"> wersję dokumentu</w:t>
      </w:r>
      <w:r w:rsidR="007D5195">
        <w:rPr>
          <w:rStyle w:val="Odwoanieprzypisudolnego"/>
          <w:b/>
          <w:bCs/>
        </w:rPr>
        <w:footnoteReference w:id="1"/>
      </w:r>
      <w:r w:rsidRPr="008E47DC">
        <w:rPr>
          <w:b/>
          <w:bCs/>
        </w:rPr>
        <w:t xml:space="preserve"> wyjaśniającego</w:t>
      </w:r>
      <w:r w:rsidRPr="00D649AF">
        <w:rPr>
          <w:b/>
          <w:bCs/>
        </w:rPr>
        <w:t>, jak</w:t>
      </w:r>
      <w:r w:rsidRPr="008E47DC">
        <w:rPr>
          <w:b/>
          <w:bCs/>
        </w:rPr>
        <w:t xml:space="preserve"> stosowa</w:t>
      </w:r>
      <w:r w:rsidRPr="00D649AF">
        <w:rPr>
          <w:b/>
          <w:bCs/>
        </w:rPr>
        <w:t>ć</w:t>
      </w:r>
      <w:r w:rsidRPr="008E47DC">
        <w:rPr>
          <w:b/>
          <w:bCs/>
        </w:rPr>
        <w:t xml:space="preserve"> przepis</w:t>
      </w:r>
      <w:r w:rsidRPr="00D649AF">
        <w:rPr>
          <w:b/>
          <w:bCs/>
        </w:rPr>
        <w:t>y</w:t>
      </w:r>
      <w:r w:rsidRPr="008E47DC">
        <w:rPr>
          <w:b/>
          <w:bCs/>
        </w:rPr>
        <w:t xml:space="preserve"> odnosząc</w:t>
      </w:r>
      <w:r w:rsidRPr="00D649AF">
        <w:rPr>
          <w:b/>
          <w:bCs/>
        </w:rPr>
        <w:t>e</w:t>
      </w:r>
      <w:r w:rsidRPr="008E47DC">
        <w:rPr>
          <w:b/>
          <w:bCs/>
        </w:rPr>
        <w:t xml:space="preserve"> się do budynków zeroemisyjnych</w:t>
      </w:r>
      <w:r w:rsidRPr="00D649AF">
        <w:rPr>
          <w:b/>
          <w:bCs/>
        </w:rPr>
        <w:t xml:space="preserve">, tzw. </w:t>
      </w:r>
      <w:r w:rsidRPr="008E47DC">
        <w:rPr>
          <w:b/>
          <w:bCs/>
        </w:rPr>
        <w:t>ZEB</w:t>
      </w:r>
      <w:r w:rsidR="00080C34">
        <w:rPr>
          <w:b/>
          <w:bCs/>
        </w:rPr>
        <w:t xml:space="preserve">. </w:t>
      </w:r>
      <w:r w:rsidRPr="008E47DC">
        <w:rPr>
          <w:b/>
          <w:bCs/>
        </w:rPr>
        <w:t xml:space="preserve">Dokument </w:t>
      </w:r>
      <w:r w:rsidRPr="00D649AF">
        <w:rPr>
          <w:b/>
          <w:bCs/>
        </w:rPr>
        <w:t xml:space="preserve">ten </w:t>
      </w:r>
      <w:r>
        <w:rPr>
          <w:b/>
          <w:bCs/>
        </w:rPr>
        <w:t>daje impuls</w:t>
      </w:r>
      <w:r w:rsidRPr="008E47DC">
        <w:rPr>
          <w:b/>
          <w:bCs/>
        </w:rPr>
        <w:t xml:space="preserve"> </w:t>
      </w:r>
      <w:r w:rsidRPr="00D649AF">
        <w:rPr>
          <w:b/>
          <w:bCs/>
        </w:rPr>
        <w:t>do</w:t>
      </w:r>
      <w:r w:rsidRPr="008E47DC">
        <w:rPr>
          <w:b/>
          <w:bCs/>
        </w:rPr>
        <w:t xml:space="preserve"> aktualizacji krajowych strategii, standardów i programów wsparcia</w:t>
      </w:r>
      <w:r>
        <w:rPr>
          <w:b/>
          <w:bCs/>
        </w:rPr>
        <w:t>. Jest też ważnym punktem odniesienia dla zmian w</w:t>
      </w:r>
      <w:r w:rsidRPr="00D649AF">
        <w:rPr>
          <w:b/>
          <w:bCs/>
        </w:rPr>
        <w:t xml:space="preserve"> </w:t>
      </w:r>
      <w:r w:rsidRPr="008E47DC">
        <w:rPr>
          <w:b/>
          <w:bCs/>
        </w:rPr>
        <w:t xml:space="preserve">metodologii </w:t>
      </w:r>
      <w:r>
        <w:rPr>
          <w:b/>
          <w:bCs/>
        </w:rPr>
        <w:t>świadectw</w:t>
      </w:r>
      <w:r w:rsidRPr="008E47DC">
        <w:rPr>
          <w:b/>
          <w:bCs/>
        </w:rPr>
        <w:t xml:space="preserve"> charakterystyki energetycznej budynk</w:t>
      </w:r>
      <w:r>
        <w:rPr>
          <w:b/>
          <w:bCs/>
        </w:rPr>
        <w:t>ów</w:t>
      </w:r>
      <w:r w:rsidRPr="008E47DC">
        <w:rPr>
          <w:b/>
          <w:bCs/>
        </w:rPr>
        <w:t xml:space="preserve"> w Polsce</w:t>
      </w:r>
      <w:r>
        <w:rPr>
          <w:b/>
          <w:bCs/>
        </w:rPr>
        <w:t>, których konsultacje właśnie trwają</w:t>
      </w:r>
      <w:r w:rsidRPr="008E47DC">
        <w:rPr>
          <w:b/>
          <w:bCs/>
        </w:rPr>
        <w:t>.</w:t>
      </w:r>
    </w:p>
    <w:p w14:paraId="415B70AD" w14:textId="77777777" w:rsidR="00080C34" w:rsidRDefault="00334057" w:rsidP="00334057">
      <w:pPr>
        <w:spacing w:after="120"/>
      </w:pPr>
      <w:r>
        <w:t xml:space="preserve">Warto przypomnieć, że </w:t>
      </w:r>
      <w:r w:rsidRPr="008E47DC">
        <w:t>ZEB (</w:t>
      </w:r>
      <w:r w:rsidRPr="00D649AF">
        <w:rPr>
          <w:i/>
          <w:iCs/>
        </w:rPr>
        <w:t>Z</w:t>
      </w:r>
      <w:r w:rsidRPr="008E47DC">
        <w:rPr>
          <w:i/>
          <w:iCs/>
        </w:rPr>
        <w:t>ero-</w:t>
      </w:r>
      <w:proofErr w:type="spellStart"/>
      <w:r w:rsidRPr="00D649AF">
        <w:rPr>
          <w:i/>
          <w:iCs/>
        </w:rPr>
        <w:t>E</w:t>
      </w:r>
      <w:r w:rsidRPr="008E47DC">
        <w:rPr>
          <w:i/>
          <w:iCs/>
        </w:rPr>
        <w:t>mission</w:t>
      </w:r>
      <w:proofErr w:type="spellEnd"/>
      <w:r w:rsidRPr="008E47DC">
        <w:rPr>
          <w:i/>
          <w:iCs/>
        </w:rPr>
        <w:t xml:space="preserve"> </w:t>
      </w:r>
      <w:proofErr w:type="spellStart"/>
      <w:r w:rsidRPr="00D649AF">
        <w:rPr>
          <w:i/>
          <w:iCs/>
        </w:rPr>
        <w:t>B</w:t>
      </w:r>
      <w:r w:rsidRPr="008E47DC">
        <w:rPr>
          <w:i/>
          <w:iCs/>
        </w:rPr>
        <w:t>uildings</w:t>
      </w:r>
      <w:proofErr w:type="spellEnd"/>
      <w:r w:rsidRPr="008E47DC">
        <w:t xml:space="preserve">) to nowy, docelowy standard budynków w </w:t>
      </w:r>
      <w:r>
        <w:t>Unii Europejskiej</w:t>
      </w:r>
      <w:r w:rsidRPr="008E47DC">
        <w:t xml:space="preserve">, który zakłada bardzo niskie zapotrzebowanie na energię oraz pełne pokrycie </w:t>
      </w:r>
      <w:r>
        <w:t xml:space="preserve">tego zapotrzebowania </w:t>
      </w:r>
      <w:r w:rsidRPr="008E47DC">
        <w:t xml:space="preserve">ze źródeł odnawialnych lub innych źródeł </w:t>
      </w:r>
      <w:proofErr w:type="spellStart"/>
      <w:r w:rsidRPr="008E47DC">
        <w:t>bezemisyjnych</w:t>
      </w:r>
      <w:proofErr w:type="spellEnd"/>
      <w:r w:rsidRPr="008E47DC">
        <w:t xml:space="preserve">. </w:t>
      </w:r>
      <w:r>
        <w:t xml:space="preserve">Zgodnie ze znowelizowaną w ubiegłym roku dyrektywą EPBD, standard </w:t>
      </w:r>
      <w:r w:rsidRPr="008E47DC">
        <w:t>ZEB ma być obowiązkow</w:t>
      </w:r>
      <w:r>
        <w:t>y</w:t>
      </w:r>
      <w:r w:rsidRPr="008E47DC">
        <w:t xml:space="preserve"> dla </w:t>
      </w:r>
      <w:r w:rsidR="00080C34">
        <w:t xml:space="preserve">nowych </w:t>
      </w:r>
      <w:r w:rsidRPr="008E47DC">
        <w:t>budynków publicznych od 2028 r.</w:t>
      </w:r>
      <w:r>
        <w:t>, a dla</w:t>
      </w:r>
      <w:r w:rsidRPr="008E47DC">
        <w:t xml:space="preserve"> wszystkich </w:t>
      </w:r>
      <w:r>
        <w:t xml:space="preserve">pozostałych </w:t>
      </w:r>
      <w:r w:rsidRPr="008E47DC">
        <w:t xml:space="preserve">nowych budynków od 2030 r. </w:t>
      </w:r>
    </w:p>
    <w:p w14:paraId="30DA1230" w14:textId="77777777" w:rsidR="00BA0D76" w:rsidRDefault="00BA0D76" w:rsidP="00334057">
      <w:pPr>
        <w:spacing w:after="120"/>
        <w:rPr>
          <w:b/>
          <w:bCs/>
          <w:color w:val="4472C4" w:themeColor="accent1"/>
          <w:u w:val="single"/>
        </w:rPr>
      </w:pPr>
      <w:r w:rsidRPr="00BA0D76">
        <w:rPr>
          <w:b/>
          <w:bCs/>
          <w:color w:val="4472C4" w:themeColor="accent1"/>
          <w:u w:val="single"/>
        </w:rPr>
        <w:t xml:space="preserve">ZEB dopuszcza jedynie technologie </w:t>
      </w:r>
      <w:proofErr w:type="spellStart"/>
      <w:r w:rsidRPr="00BA0D76">
        <w:rPr>
          <w:b/>
          <w:bCs/>
          <w:color w:val="4472C4" w:themeColor="accent1"/>
          <w:u w:val="single"/>
        </w:rPr>
        <w:t>bezemisyjne</w:t>
      </w:r>
      <w:proofErr w:type="spellEnd"/>
    </w:p>
    <w:p w14:paraId="2F7F2D76" w14:textId="08EF0EBE" w:rsidR="00BA0D76" w:rsidRDefault="00334057" w:rsidP="00BA0D76">
      <w:pPr>
        <w:spacing w:after="120"/>
      </w:pPr>
      <w:r>
        <w:t xml:space="preserve">W najnowszych wytycznych </w:t>
      </w:r>
      <w:r w:rsidRPr="008E47DC">
        <w:t xml:space="preserve">Komisja Europejska podkreśla, że </w:t>
      </w:r>
      <w:r w:rsidR="00BA0D76">
        <w:t xml:space="preserve">do spełnienia wymogów budynków </w:t>
      </w:r>
      <w:r w:rsidR="00AD096D">
        <w:t>w standardzie ZEB</w:t>
      </w:r>
      <w:r w:rsidR="00BA0D76">
        <w:t xml:space="preserve"> przewidziano stosowanie wyłącznie technologii </w:t>
      </w:r>
      <w:proofErr w:type="spellStart"/>
      <w:r w:rsidR="00BA0D76">
        <w:t>bezemisyjnych</w:t>
      </w:r>
      <w:proofErr w:type="spellEnd"/>
      <w:r w:rsidR="00BA0D76">
        <w:t xml:space="preserve"> – takich jak pompy ciepła, systemy solarne czy odpowiednio zrównoważona bioenergia – podczas gdy ogrzewanie na gaz, olej czy węgiel jest wykluczone. Jak można przeczytać w odnośnym dokumencie:</w:t>
      </w:r>
    </w:p>
    <w:p w14:paraId="3CFFE4A1" w14:textId="77777777" w:rsidR="00BA0D76" w:rsidRDefault="00BA0D76" w:rsidP="00BA0D76">
      <w:pPr>
        <w:spacing w:after="120"/>
      </w:pPr>
      <w:r>
        <w:t xml:space="preserve">− </w:t>
      </w:r>
      <w:r w:rsidRPr="00AD096D">
        <w:rPr>
          <w:i/>
          <w:iCs/>
        </w:rPr>
        <w:t>Stosowanie pomp ciepła, systemów solarnych oraz systemów grzewczych opartych na bioenergii jest zgodne z art. 11 ust. 1 dyrektywy EPBD.</w:t>
      </w:r>
    </w:p>
    <w:p w14:paraId="47656905" w14:textId="5C0CD465" w:rsidR="00BA0D76" w:rsidRDefault="00BA0D76" w:rsidP="00BA0D76">
      <w:pPr>
        <w:spacing w:after="120"/>
      </w:pPr>
      <w:r>
        <w:t xml:space="preserve">To właśnie takie technologie jak pompy ciepła zasilane odnawialną energią elektryczną (w tym z instalacji fotowoltaicznych) oraz efektywne systemy ciepłownicze spełniające wymagania dyrektywy EED </w:t>
      </w:r>
      <w:r w:rsidR="00AD096D">
        <w:rPr>
          <w:rFonts w:cstheme="minorHAnsi"/>
        </w:rPr>
        <w:t>−</w:t>
      </w:r>
      <w:r w:rsidR="00AD096D">
        <w:t xml:space="preserve"> </w:t>
      </w:r>
      <w:r>
        <w:t xml:space="preserve">zdaniem Komisji Europejskiej </w:t>
      </w:r>
      <w:r w:rsidR="00AD096D">
        <w:rPr>
          <w:rFonts w:cstheme="minorHAnsi"/>
        </w:rPr>
        <w:t>−</w:t>
      </w:r>
      <w:r>
        <w:t xml:space="preserve"> mają stanowić podstawę dekarbonizacji budynków w Unii Europejskiej.</w:t>
      </w:r>
    </w:p>
    <w:p w14:paraId="322267E3" w14:textId="77777777" w:rsidR="00BA0D76" w:rsidRDefault="00BA0D76" w:rsidP="00BA0D76">
      <w:pPr>
        <w:spacing w:after="120"/>
        <w:rPr>
          <w:color w:val="4472C4" w:themeColor="accent1"/>
          <w:u w:val="single"/>
        </w:rPr>
      </w:pPr>
      <w:r w:rsidRPr="008E47DC">
        <w:rPr>
          <w:b/>
          <w:bCs/>
          <w:color w:val="4472C4" w:themeColor="accent1"/>
          <w:u w:val="single"/>
        </w:rPr>
        <w:t>Nowe podejście do</w:t>
      </w:r>
      <w:r>
        <w:rPr>
          <w:b/>
          <w:bCs/>
          <w:color w:val="4472C4" w:themeColor="accent1"/>
          <w:u w:val="single"/>
        </w:rPr>
        <w:t xml:space="preserve"> liczenia</w:t>
      </w:r>
      <w:r w:rsidRPr="008E47DC">
        <w:rPr>
          <w:b/>
          <w:bCs/>
          <w:color w:val="4472C4" w:themeColor="accent1"/>
          <w:u w:val="single"/>
        </w:rPr>
        <w:t xml:space="preserve"> energii pierwotnej</w:t>
      </w:r>
    </w:p>
    <w:p w14:paraId="6CF8403C" w14:textId="77777777" w:rsidR="00BA0D76" w:rsidRDefault="00BA0D76" w:rsidP="00BA0D76">
      <w:pPr>
        <w:spacing w:after="120"/>
      </w:pPr>
      <w:r w:rsidRPr="008E47DC">
        <w:t>Jedną z najważniejszych zmian w</w:t>
      </w:r>
      <w:r>
        <w:t xml:space="preserve"> wytycznych do</w:t>
      </w:r>
      <w:r w:rsidRPr="008E47DC">
        <w:t xml:space="preserve"> dyrektyw</w:t>
      </w:r>
      <w:r>
        <w:t>y</w:t>
      </w:r>
      <w:r w:rsidRPr="008E47DC">
        <w:t xml:space="preserve"> EPBD jest wymóg liczenia całkowitego zużycia energii pierwotnej, a nie – jak dot</w:t>
      </w:r>
      <w:r>
        <w:t>ychczas robiono to</w:t>
      </w:r>
      <w:r w:rsidRPr="008E47DC">
        <w:t xml:space="preserve"> w wielu krajach</w:t>
      </w:r>
      <w:r>
        <w:t>, m.in. w Polsce</w:t>
      </w:r>
      <w:r w:rsidRPr="008E47DC">
        <w:t xml:space="preserve"> – tylko nieodnawialnej części. Komisja </w:t>
      </w:r>
      <w:r>
        <w:t>Europejska zajmuje tu wyraźne stanowisko:</w:t>
      </w:r>
    </w:p>
    <w:p w14:paraId="0AC536A9" w14:textId="77777777" w:rsidR="00BA0D76" w:rsidRDefault="00BA0D76" w:rsidP="00BA0D76">
      <w:pPr>
        <w:spacing w:after="120"/>
      </w:pPr>
      <w:r w:rsidRPr="0008481E">
        <w:rPr>
          <w:rFonts w:cstheme="minorHAnsi"/>
        </w:rPr>
        <w:t>−</w:t>
      </w:r>
      <w:r>
        <w:t xml:space="preserve"> </w:t>
      </w:r>
      <w:r w:rsidRPr="008E47DC">
        <w:rPr>
          <w:i/>
          <w:iCs/>
        </w:rPr>
        <w:t>Maksymalny próg zapotrzebowania na energię dla budynków zeroemisyjnych […] musi być wyrażony jako całkowite zużycie energii pierwotnej.</w:t>
      </w:r>
      <w:r w:rsidRPr="008E47DC">
        <w:t xml:space="preserve"> </w:t>
      </w:r>
    </w:p>
    <w:p w14:paraId="49D60248" w14:textId="6D523373" w:rsidR="00BA0D76" w:rsidRDefault="00BA0D76" w:rsidP="00BA0D76">
      <w:pPr>
        <w:spacing w:after="120"/>
      </w:pPr>
      <w:r w:rsidRPr="00BA0D76">
        <w:t>To oznacza, że wszystkie składniki energii pierwotnej (zarówno odnawialnej, jak i nieodnawialnej) muszą być sumowane, co wpływa na ocenę efektywności energetycznej budynków i preferencje technologiczne.</w:t>
      </w:r>
      <w:r w:rsidRPr="00BA0D76">
        <w:rPr>
          <w:i/>
          <w:iCs/>
          <w:color w:val="000000"/>
        </w:rPr>
        <w:t xml:space="preserve"> </w:t>
      </w:r>
      <w:r w:rsidRPr="00BA0D76">
        <w:rPr>
          <w:color w:val="000000"/>
        </w:rPr>
        <w:t xml:space="preserve">Warto zaznaczyć, że </w:t>
      </w:r>
      <w:r w:rsidRPr="00BA0D76">
        <w:t xml:space="preserve">zgodnie z wytycznymi, budynek zeroemisyjny musi w skali roku wyprodukować lub pozyskać z czystych źródeł tyle energii (w przeliczeniu na energię pierwotną), ile </w:t>
      </w:r>
      <w:r w:rsidRPr="00BA0D76">
        <w:lastRenderedPageBreak/>
        <w:t>sam zużywa – co oznacza przejście na bilansowanie roczne z wykorzystaniem OZE i uwzględnienie przyszłych współczynników nakładu nieodnawialnej energii pierwotnej.</w:t>
      </w:r>
    </w:p>
    <w:p w14:paraId="745797E5" w14:textId="373A121F" w:rsidR="00334057" w:rsidRDefault="00334057" w:rsidP="00BA0D76">
      <w:pPr>
        <w:spacing w:after="120"/>
        <w:rPr>
          <w:color w:val="4472C4" w:themeColor="accent1"/>
          <w:u w:val="single"/>
        </w:rPr>
      </w:pPr>
      <w:r w:rsidRPr="005E4EC4">
        <w:rPr>
          <w:b/>
          <w:bCs/>
          <w:color w:val="4472C4" w:themeColor="accent1"/>
          <w:u w:val="single"/>
        </w:rPr>
        <w:t>Biomasa z określonymi warunkami zastosowania</w:t>
      </w:r>
    </w:p>
    <w:p w14:paraId="47CE5390" w14:textId="50FB5A94" w:rsidR="00080C34" w:rsidRDefault="00334057" w:rsidP="00334057">
      <w:pPr>
        <w:spacing w:after="120"/>
      </w:pPr>
      <w:r>
        <w:t xml:space="preserve">Wytyczne Komisji Europejskiej wskazują, że biomasa może być stosowana jako źródło energii w budynkach zeroemisyjnych (ZEB), </w:t>
      </w:r>
      <w:r w:rsidR="007E183B">
        <w:t xml:space="preserve">ale </w:t>
      </w:r>
      <w:r>
        <w:t xml:space="preserve">pod warunkiem spełnienia rygorystycznych kryteriów zrównoważonego rozwoju. Obejmuje to m.in. zgodność z kryteriami zrównoważonego pozyskiwania i ograniczania emisji gazów cieplarnianych (zgodnie z art. 29 dyrektywy RED II), a także brak negatywnego wpływu na pochłanianie </w:t>
      </w:r>
      <w:r w:rsidR="00A20D4E">
        <w:t>dwutlenku węgla (</w:t>
      </w:r>
      <w:r>
        <w:t>CO₂</w:t>
      </w:r>
      <w:r w:rsidR="00A20D4E">
        <w:t xml:space="preserve">) </w:t>
      </w:r>
      <w:r>
        <w:t>przez lasy (LULUCF) oraz jakość powietrza (przypisy 5 i 6). Emisje operacyjne, takie jak metan (CH₄) i podtlenek azotu (N₂O), muszą mieścić się w dopuszczalnym limicie ustalonym dla budynku zeroemisyjnego.</w:t>
      </w:r>
    </w:p>
    <w:p w14:paraId="03886A74" w14:textId="592F0B7B" w:rsidR="00572F84" w:rsidRDefault="00156C56" w:rsidP="00334057">
      <w:pPr>
        <w:spacing w:after="120"/>
        <w:rPr>
          <w:color w:val="4472C4" w:themeColor="accent1"/>
          <w:u w:val="single"/>
        </w:rPr>
      </w:pPr>
      <w:r>
        <w:rPr>
          <w:b/>
          <w:bCs/>
          <w:color w:val="4472C4" w:themeColor="accent1"/>
          <w:u w:val="single"/>
        </w:rPr>
        <w:t>Ź</w:t>
      </w:r>
      <w:r w:rsidR="00334057" w:rsidRPr="008E47DC">
        <w:rPr>
          <w:b/>
          <w:bCs/>
          <w:color w:val="4472C4" w:themeColor="accent1"/>
          <w:u w:val="single"/>
        </w:rPr>
        <w:t xml:space="preserve">ródła energii dla </w:t>
      </w:r>
      <w:r w:rsidR="00334057" w:rsidRPr="0008481E">
        <w:rPr>
          <w:b/>
          <w:bCs/>
          <w:color w:val="4472C4" w:themeColor="accent1"/>
          <w:u w:val="single"/>
        </w:rPr>
        <w:t>budynków ZEB</w:t>
      </w:r>
    </w:p>
    <w:p w14:paraId="294601E6" w14:textId="44DA3DFA" w:rsidR="00334057" w:rsidRPr="008E47DC" w:rsidRDefault="00334057" w:rsidP="00334057">
      <w:pPr>
        <w:spacing w:after="120"/>
      </w:pPr>
      <w:r w:rsidRPr="008E47DC">
        <w:t>Dokument Komisji doprecyzowuje</w:t>
      </w:r>
      <w:r>
        <w:t xml:space="preserve"> również</w:t>
      </w:r>
      <w:r w:rsidRPr="008E47DC">
        <w:t xml:space="preserve">, że energia zużywana </w:t>
      </w:r>
      <w:r>
        <w:t>w</w:t>
      </w:r>
      <w:r w:rsidRPr="008E47DC">
        <w:t xml:space="preserve"> budynk</w:t>
      </w:r>
      <w:r>
        <w:t>ach</w:t>
      </w:r>
      <w:r w:rsidRPr="008E47DC">
        <w:t xml:space="preserve"> zeroemisyjn</w:t>
      </w:r>
      <w:r>
        <w:t>ych</w:t>
      </w:r>
      <w:r w:rsidRPr="008E47DC">
        <w:t xml:space="preserve"> </w:t>
      </w:r>
      <w:r>
        <w:t xml:space="preserve">powinna </w:t>
      </w:r>
      <w:r w:rsidRPr="008E47DC">
        <w:t xml:space="preserve">pochodzić </w:t>
      </w:r>
      <w:r>
        <w:t>z następujących źródeł</w:t>
      </w:r>
      <w:r w:rsidRPr="008E47DC">
        <w:t>:</w:t>
      </w:r>
    </w:p>
    <w:p w14:paraId="7DC38D0C" w14:textId="696EC8DF" w:rsidR="00334057" w:rsidRPr="008E47DC" w:rsidRDefault="00334057" w:rsidP="00334057">
      <w:pPr>
        <w:numPr>
          <w:ilvl w:val="0"/>
          <w:numId w:val="38"/>
        </w:numPr>
        <w:spacing w:after="0"/>
        <w:ind w:left="357" w:hanging="357"/>
        <w:rPr>
          <w:i/>
          <w:iCs/>
        </w:rPr>
      </w:pPr>
      <w:r w:rsidRPr="008E47DC">
        <w:rPr>
          <w:i/>
          <w:iCs/>
        </w:rPr>
        <w:t xml:space="preserve">instalacji OZE </w:t>
      </w:r>
      <w:r w:rsidRPr="0008481E">
        <w:rPr>
          <w:i/>
          <w:iCs/>
        </w:rPr>
        <w:t xml:space="preserve">znajdującej </w:t>
      </w:r>
      <w:r w:rsidRPr="008E47DC">
        <w:rPr>
          <w:i/>
          <w:iCs/>
        </w:rPr>
        <w:t xml:space="preserve">na budynku lub </w:t>
      </w:r>
      <w:r w:rsidRPr="0008481E">
        <w:rPr>
          <w:i/>
          <w:iCs/>
        </w:rPr>
        <w:t xml:space="preserve">na terenie </w:t>
      </w:r>
      <w:r w:rsidRPr="008E47DC">
        <w:rPr>
          <w:i/>
          <w:iCs/>
        </w:rPr>
        <w:t>dział</w:t>
      </w:r>
      <w:r w:rsidRPr="0008481E">
        <w:rPr>
          <w:i/>
          <w:iCs/>
        </w:rPr>
        <w:t>ki</w:t>
      </w:r>
      <w:r w:rsidRPr="008E47DC">
        <w:rPr>
          <w:i/>
          <w:iCs/>
        </w:rPr>
        <w:t>,</w:t>
      </w:r>
      <w:r w:rsidRPr="0008481E">
        <w:rPr>
          <w:i/>
          <w:iCs/>
        </w:rPr>
        <w:t xml:space="preserve"> na której budynek jest w</w:t>
      </w:r>
      <w:r w:rsidR="00A20D4E">
        <w:rPr>
          <w:i/>
          <w:iCs/>
        </w:rPr>
        <w:t>z</w:t>
      </w:r>
      <w:r w:rsidRPr="0008481E">
        <w:rPr>
          <w:i/>
          <w:iCs/>
        </w:rPr>
        <w:t>niesiony;</w:t>
      </w:r>
    </w:p>
    <w:p w14:paraId="520703EA" w14:textId="77777777" w:rsidR="00334057" w:rsidRPr="008E47DC" w:rsidRDefault="00334057" w:rsidP="00334057">
      <w:pPr>
        <w:numPr>
          <w:ilvl w:val="0"/>
          <w:numId w:val="38"/>
        </w:numPr>
        <w:spacing w:after="0"/>
        <w:ind w:left="357" w:hanging="357"/>
        <w:rPr>
          <w:i/>
          <w:iCs/>
        </w:rPr>
      </w:pPr>
      <w:r w:rsidRPr="0008481E">
        <w:rPr>
          <w:i/>
          <w:iCs/>
        </w:rPr>
        <w:t xml:space="preserve">instalacji </w:t>
      </w:r>
      <w:r w:rsidRPr="008E47DC">
        <w:rPr>
          <w:i/>
          <w:iCs/>
        </w:rPr>
        <w:t>OZE w pobliżu budynku (np. lokalne spółdzielnie energetyczne)</w:t>
      </w:r>
      <w:r w:rsidRPr="0008481E">
        <w:rPr>
          <w:i/>
          <w:iCs/>
        </w:rPr>
        <w:t>;</w:t>
      </w:r>
    </w:p>
    <w:p w14:paraId="722DF9E7" w14:textId="77777777" w:rsidR="00334057" w:rsidRPr="008E47DC" w:rsidRDefault="00334057" w:rsidP="00334057">
      <w:pPr>
        <w:numPr>
          <w:ilvl w:val="0"/>
          <w:numId w:val="38"/>
        </w:numPr>
        <w:spacing w:after="0"/>
        <w:ind w:left="357" w:hanging="357"/>
        <w:rPr>
          <w:i/>
          <w:iCs/>
        </w:rPr>
      </w:pPr>
      <w:r w:rsidRPr="008E47DC">
        <w:rPr>
          <w:i/>
          <w:iCs/>
        </w:rPr>
        <w:t>efektywnych systemów ciepłowniczych (zgodnie z definicją z dyrektywy EED)</w:t>
      </w:r>
      <w:r w:rsidRPr="0008481E">
        <w:rPr>
          <w:i/>
          <w:iCs/>
        </w:rPr>
        <w:t>;</w:t>
      </w:r>
    </w:p>
    <w:p w14:paraId="29AE4A11" w14:textId="77777777" w:rsidR="00080C34" w:rsidRDefault="00334057" w:rsidP="00080C34">
      <w:pPr>
        <w:numPr>
          <w:ilvl w:val="0"/>
          <w:numId w:val="38"/>
        </w:numPr>
        <w:spacing w:after="0"/>
        <w:ind w:left="357" w:hanging="357"/>
        <w:rPr>
          <w:i/>
          <w:iCs/>
        </w:rPr>
      </w:pPr>
      <w:r w:rsidRPr="008E47DC">
        <w:rPr>
          <w:i/>
          <w:iCs/>
        </w:rPr>
        <w:t>źródeł zeroemisyjnych w systemie elektroenergetycznym.</w:t>
      </w:r>
    </w:p>
    <w:p w14:paraId="117BCE77" w14:textId="77777777" w:rsidR="00156C56" w:rsidRDefault="00156C56" w:rsidP="00156C56">
      <w:pPr>
        <w:spacing w:after="0"/>
        <w:rPr>
          <w:i/>
          <w:iCs/>
        </w:rPr>
      </w:pPr>
    </w:p>
    <w:p w14:paraId="4FEB20BD" w14:textId="500D1D0B" w:rsidR="00156C56" w:rsidRPr="00156C56" w:rsidRDefault="00156C56" w:rsidP="00156C56">
      <w:pPr>
        <w:spacing w:after="0"/>
      </w:pPr>
      <w:r w:rsidRPr="00BA0D76">
        <w:t xml:space="preserve">Jeżeli w pełni odnawialne zasilanie budynku nie jest możliwe z przyczyn technicznych lub ekonomicznych, wytyczne KE dopuszczają korzystanie z energii niepochodzącej z OZE, ale pod warunkiem pełnego zbilansowania jej nadwyżką produkcji energii odnawialnej na miejscu w ujęciu rocznym. Nawet wtedy w budynku </w:t>
      </w:r>
      <w:r w:rsidR="008520A8" w:rsidRPr="00BA0D76">
        <w:t xml:space="preserve">ZEB </w:t>
      </w:r>
      <w:r w:rsidRPr="00BA0D76">
        <w:t xml:space="preserve">nie wolno jednak instalować źródeł spalających paliwa kopalne – odstępstwo dotyczy wyłącznie sposobu pokrycia bilansu energii pierwotnej, a nie zniesienia zakazu emisyjnych urządzeń grzewczych. Innymi słowy, Komisja Europejska nie akceptuje w </w:t>
      </w:r>
      <w:r w:rsidR="00BA0D76" w:rsidRPr="00BA0D76">
        <w:t xml:space="preserve">nowych </w:t>
      </w:r>
      <w:r w:rsidRPr="00BA0D76">
        <w:t xml:space="preserve">budynkach </w:t>
      </w:r>
      <w:proofErr w:type="spellStart"/>
      <w:r w:rsidRPr="00BA0D76">
        <w:t>bezemisyjnych</w:t>
      </w:r>
      <w:proofErr w:type="spellEnd"/>
      <w:r w:rsidRPr="00BA0D76">
        <w:t xml:space="preserve"> takich rozwiązań jak np. hybrydowe kotły gazowe.</w:t>
      </w:r>
    </w:p>
    <w:p w14:paraId="52CB2F93" w14:textId="77777777" w:rsidR="00080C34" w:rsidRDefault="00080C34" w:rsidP="00080C34">
      <w:pPr>
        <w:spacing w:after="0"/>
        <w:rPr>
          <w:i/>
          <w:iCs/>
        </w:rPr>
      </w:pPr>
    </w:p>
    <w:p w14:paraId="6382DF53" w14:textId="666E2466" w:rsidR="00334057" w:rsidRPr="00BA0D76" w:rsidRDefault="00334057" w:rsidP="00334057">
      <w:pPr>
        <w:spacing w:after="120"/>
        <w:rPr>
          <w:color w:val="4472C4" w:themeColor="accent1"/>
          <w:u w:val="single"/>
        </w:rPr>
      </w:pPr>
      <w:r w:rsidRPr="00BA0D76">
        <w:rPr>
          <w:b/>
          <w:bCs/>
          <w:color w:val="4472C4" w:themeColor="accent1"/>
          <w:u w:val="single"/>
        </w:rPr>
        <w:t xml:space="preserve">Ogrzewanie niskotemperaturowe </w:t>
      </w:r>
      <w:r w:rsidR="000742EE" w:rsidRPr="00BA0D76">
        <w:rPr>
          <w:b/>
          <w:bCs/>
          <w:color w:val="4472C4" w:themeColor="accent1"/>
          <w:u w:val="single"/>
        </w:rPr>
        <w:t>wspiera efektywność energetyczną</w:t>
      </w:r>
    </w:p>
    <w:p w14:paraId="59D84431" w14:textId="55951FC4" w:rsidR="00334057" w:rsidRDefault="00A91B82" w:rsidP="00334057">
      <w:pPr>
        <w:spacing w:after="120"/>
      </w:pPr>
      <w:r w:rsidRPr="00BA0D76">
        <w:t>Zapewnienie jak najwyższej efektywności energetycznej</w:t>
      </w:r>
      <w:r w:rsidR="001B6405" w:rsidRPr="00BA0D76">
        <w:t>, na którą tak duży nacisk kładą nowe wytyczne KE, w</w:t>
      </w:r>
      <w:r w:rsidR="00A0297A" w:rsidRPr="00BA0D76">
        <w:t xml:space="preserve"> praktyce </w:t>
      </w:r>
      <w:r w:rsidR="001B6405" w:rsidRPr="00BA0D76">
        <w:t xml:space="preserve">wiąże się z koniecznością upowszechnienia </w:t>
      </w:r>
      <w:r w:rsidR="00334057" w:rsidRPr="00BA0D76">
        <w:t xml:space="preserve">systemów </w:t>
      </w:r>
      <w:r w:rsidR="001B6405" w:rsidRPr="00BA0D76">
        <w:t xml:space="preserve">grzewczych, które są </w:t>
      </w:r>
      <w:r w:rsidR="00A0297A" w:rsidRPr="00BA0D76">
        <w:t>dostosowan</w:t>
      </w:r>
      <w:r w:rsidR="001B6405" w:rsidRPr="00BA0D76">
        <w:t>e</w:t>
      </w:r>
      <w:r w:rsidR="00A0297A" w:rsidRPr="00BA0D76">
        <w:t xml:space="preserve"> do niskich wartości temperatury pracy. </w:t>
      </w:r>
      <w:r w:rsidR="001B6405" w:rsidRPr="00BA0D76">
        <w:t xml:space="preserve">Dzięki temu można będzie w pełni wykorzystywać potencjał pomp ciepła lub sieci ciepłowniczych nowej generacji oraz minimalizować straty przesyłowe. </w:t>
      </w:r>
      <w:r w:rsidRPr="00BA0D76">
        <w:t>I c</w:t>
      </w:r>
      <w:r w:rsidR="00A0297A" w:rsidRPr="00BA0D76">
        <w:t xml:space="preserve">hoć </w:t>
      </w:r>
      <w:r w:rsidRPr="00BA0D76">
        <w:t>w samych wytycznych Komisja</w:t>
      </w:r>
      <w:r w:rsidR="001B6405" w:rsidRPr="00BA0D76">
        <w:t xml:space="preserve"> </w:t>
      </w:r>
      <w:r w:rsidRPr="00BA0D76">
        <w:t>nie wspomina</w:t>
      </w:r>
      <w:r w:rsidR="001B6405" w:rsidRPr="00BA0D76">
        <w:t xml:space="preserve"> o ogrzewaniu niskotemperaturowym</w:t>
      </w:r>
      <w:r w:rsidRPr="00BA0D76">
        <w:t>, do promowania takich systemów w nowych i modernizowanych budynkach zachęca państwa członkowskie dyrektywa EPBD.</w:t>
      </w:r>
      <w:r w:rsidRPr="00BA0D76">
        <w:rPr>
          <w:i/>
          <w:iCs/>
        </w:rPr>
        <w:t xml:space="preserve"> </w:t>
      </w:r>
      <w:r w:rsidR="00F76AB7" w:rsidRPr="00BA0D76">
        <w:t>W</w:t>
      </w:r>
      <w:r w:rsidR="00334057" w:rsidRPr="00BA0D76">
        <w:t xml:space="preserve"> nowych budynkach standardem powinno być projektowanie systemów grzewczych na temperaturę zasilania poniżej 45°C. W istniejących budynkach możliwe są modernizacje pozwalające obniżyć temperaturę zasilania do poziomu ≤55°C, co umożliwia pracę pomp ciepła w trybie wysokosprawnym. </w:t>
      </w:r>
      <w:r w:rsidR="00F76AB7" w:rsidRPr="00BA0D76">
        <w:t xml:space="preserve">Warto uwzględnić </w:t>
      </w:r>
      <w:r w:rsidR="00334057" w:rsidRPr="00BA0D76">
        <w:t>taki</w:t>
      </w:r>
      <w:r w:rsidR="00F76AB7" w:rsidRPr="00BA0D76">
        <w:t>e</w:t>
      </w:r>
      <w:r w:rsidR="00334057" w:rsidRPr="00BA0D76">
        <w:t xml:space="preserve"> wymaga</w:t>
      </w:r>
      <w:r w:rsidR="00F76AB7" w:rsidRPr="00BA0D76">
        <w:t>nia</w:t>
      </w:r>
      <w:r w:rsidR="00334057" w:rsidRPr="00BA0D76">
        <w:t xml:space="preserve"> w przepisach technicznych, świadectwach energetycznych i inspekcjach systemów.</w:t>
      </w:r>
    </w:p>
    <w:p w14:paraId="58BCEF61" w14:textId="77777777" w:rsidR="00334057" w:rsidRPr="001047CF" w:rsidRDefault="00334057" w:rsidP="00334057">
      <w:pPr>
        <w:spacing w:after="120"/>
        <w:rPr>
          <w:b/>
          <w:bCs/>
          <w:color w:val="4472C4" w:themeColor="accent1"/>
          <w:u w:val="single"/>
        </w:rPr>
      </w:pPr>
      <w:r>
        <w:rPr>
          <w:b/>
          <w:bCs/>
          <w:color w:val="4472C4" w:themeColor="accent1"/>
          <w:u w:val="single"/>
        </w:rPr>
        <w:t>Najwyższy c</w:t>
      </w:r>
      <w:r w:rsidRPr="001047CF">
        <w:rPr>
          <w:b/>
          <w:bCs/>
          <w:color w:val="4472C4" w:themeColor="accent1"/>
          <w:u w:val="single"/>
        </w:rPr>
        <w:t>zas na korektę podejścia do transformacji</w:t>
      </w:r>
    </w:p>
    <w:p w14:paraId="63384570" w14:textId="375E5B7C" w:rsidR="00334057" w:rsidRDefault="00334057" w:rsidP="00334057">
      <w:pPr>
        <w:spacing w:after="120"/>
      </w:pPr>
      <w:r w:rsidRPr="008E47DC">
        <w:t xml:space="preserve">Nowe wytyczne Komisji Europejskiej </w:t>
      </w:r>
      <w:r>
        <w:t xml:space="preserve">jasno </w:t>
      </w:r>
      <w:r w:rsidRPr="008E47DC">
        <w:t xml:space="preserve">wyznaczają kierunek </w:t>
      </w:r>
      <w:r>
        <w:t>transformacji</w:t>
      </w:r>
      <w:r w:rsidRPr="008E47DC">
        <w:t xml:space="preserve"> budownictwa w Europie. Kluczowe technologie to pompy ciepła zasilane odnawialną energią elektryczną, </w:t>
      </w:r>
      <w:proofErr w:type="spellStart"/>
      <w:r w:rsidRPr="008E47DC">
        <w:t>fotowoltaika</w:t>
      </w:r>
      <w:proofErr w:type="spellEnd"/>
      <w:r>
        <w:t xml:space="preserve"> oraz </w:t>
      </w:r>
      <w:r w:rsidRPr="008E47DC">
        <w:t xml:space="preserve">efektywne systemy ciepłownicze </w:t>
      </w:r>
      <w:r>
        <w:t xml:space="preserve">nowej generacji, a dla zapewnienia najwyższej efektywności przekazywania ciepła </w:t>
      </w:r>
      <w:r>
        <w:rPr>
          <w:rFonts w:cstheme="minorHAnsi"/>
        </w:rPr>
        <w:t>−</w:t>
      </w:r>
      <w:r>
        <w:t xml:space="preserve"> niskotemperaturowe systemy grzewcze. </w:t>
      </w:r>
      <w:r w:rsidRPr="00BA0D76">
        <w:t xml:space="preserve">Jednocześnie </w:t>
      </w:r>
      <w:r w:rsidR="005C3FB7" w:rsidRPr="00BA0D76">
        <w:t xml:space="preserve">Komisja </w:t>
      </w:r>
      <w:r w:rsidRPr="00BA0D76">
        <w:t xml:space="preserve">wyraźnie </w:t>
      </w:r>
      <w:r w:rsidR="005C3FB7" w:rsidRPr="00BA0D76">
        <w:t>wskazuje, że</w:t>
      </w:r>
      <w:r w:rsidRPr="00BA0D76">
        <w:t xml:space="preserve"> wykorzystanie biomasy </w:t>
      </w:r>
      <w:r w:rsidR="005C3FB7" w:rsidRPr="00BA0D76">
        <w:t xml:space="preserve">musi być ograniczone do sytuacji, w których spełnia ona szereg warunków – zarówno prawnych (kryteria RED II), jak i wynikających z szerszej polityki (niepogarszanie </w:t>
      </w:r>
      <w:r w:rsidR="005C3FB7" w:rsidRPr="00BA0D76">
        <w:lastRenderedPageBreak/>
        <w:t xml:space="preserve">jakości powietrza, ostrożność wobec </w:t>
      </w:r>
      <w:r w:rsidR="00BA0D76">
        <w:t xml:space="preserve">zmniejszania pochłaniania </w:t>
      </w:r>
      <w:r w:rsidR="005C3FB7" w:rsidRPr="00BA0D76">
        <w:t xml:space="preserve">emisji związanych z LULUCF). </w:t>
      </w:r>
      <w:r w:rsidR="00564C46" w:rsidRPr="00BA0D76">
        <w:t>Podkreśla też</w:t>
      </w:r>
      <w:r w:rsidR="008520A8" w:rsidRPr="00BA0D76">
        <w:t xml:space="preserve"> konieczność </w:t>
      </w:r>
      <w:r w:rsidR="00564C46" w:rsidRPr="00BA0D76">
        <w:t xml:space="preserve">odpowiedniego zbilansowania, gdy </w:t>
      </w:r>
      <w:r w:rsidR="005C3FB7" w:rsidRPr="00BA0D76">
        <w:t xml:space="preserve">do zasilania budynków </w:t>
      </w:r>
      <w:r w:rsidR="00564C46" w:rsidRPr="00BA0D76">
        <w:t>ZEB wykorzystywany jest</w:t>
      </w:r>
      <w:r w:rsidR="005C3FB7" w:rsidRPr="00BA0D76">
        <w:t xml:space="preserve"> </w:t>
      </w:r>
      <w:proofErr w:type="spellStart"/>
      <w:r w:rsidR="005C3FB7" w:rsidRPr="00BA0D76">
        <w:t>miks</w:t>
      </w:r>
      <w:proofErr w:type="spellEnd"/>
      <w:r w:rsidR="00564C46" w:rsidRPr="00BA0D76">
        <w:t xml:space="preserve"> </w:t>
      </w:r>
      <w:r w:rsidR="005C3FB7" w:rsidRPr="00BA0D76">
        <w:t>energii</w:t>
      </w:r>
      <w:r w:rsidR="008520A8" w:rsidRPr="00BA0D76">
        <w:t xml:space="preserve"> z udziałem paliw kopalnych.</w:t>
      </w:r>
      <w:r w:rsidR="008520A8">
        <w:t xml:space="preserve"> </w:t>
      </w:r>
    </w:p>
    <w:p w14:paraId="7642B6B9" w14:textId="77777777" w:rsidR="00080C34" w:rsidRDefault="00334057" w:rsidP="00334057">
      <w:pPr>
        <w:spacing w:after="120"/>
      </w:pPr>
      <w:r>
        <w:t>Zgodnie z wytycznymi KE, p</w:t>
      </w:r>
      <w:r w:rsidRPr="008E47DC">
        <w:t xml:space="preserve">aństwa członkowskie muszą także dostosować swoje metody obliczania charakterystyki energetycznej do nowych zasad – poprzez stosowanie wskaźnika całkowitej energii pierwotnej. </w:t>
      </w:r>
      <w:r>
        <w:t xml:space="preserve">A w Polsce trwają właśnie konsultacje </w:t>
      </w:r>
      <w:r w:rsidRPr="009939F9">
        <w:t>projektu rozporządzenia Ministra Rozwoju i Technologii w sprawie metodologii wyznaczania charakterystyki energetycznej budynku lub części budynku oraz świadectw charakterystyki energetycznej</w:t>
      </w:r>
      <w:r>
        <w:t>. W konsultacjach uczestniczy m.in. PORT PC. Jak podkreśla Paweł Lachman, prezes zarządu PORT PC</w:t>
      </w:r>
    </w:p>
    <w:p w14:paraId="4832922A" w14:textId="0FF4F2DB" w:rsidR="00334057" w:rsidRPr="00080C34" w:rsidRDefault="00334057" w:rsidP="00334057">
      <w:pPr>
        <w:spacing w:after="120"/>
      </w:pPr>
      <w:r>
        <w:rPr>
          <w:rFonts w:cstheme="minorHAnsi"/>
        </w:rPr>
        <w:t>−</w:t>
      </w:r>
      <w:r>
        <w:t xml:space="preserve"> </w:t>
      </w:r>
      <w:r w:rsidRPr="00FB408D">
        <w:rPr>
          <w:i/>
          <w:iCs/>
        </w:rPr>
        <w:t xml:space="preserve">To </w:t>
      </w:r>
      <w:r>
        <w:rPr>
          <w:i/>
          <w:iCs/>
        </w:rPr>
        <w:t>dobry</w:t>
      </w:r>
      <w:r w:rsidRPr="00FB408D">
        <w:rPr>
          <w:i/>
          <w:iCs/>
        </w:rPr>
        <w:t xml:space="preserve"> moment, by dostosować projekt </w:t>
      </w:r>
      <w:r>
        <w:rPr>
          <w:i/>
          <w:iCs/>
        </w:rPr>
        <w:t xml:space="preserve">nowego </w:t>
      </w:r>
      <w:r w:rsidRPr="00FB408D">
        <w:rPr>
          <w:i/>
          <w:iCs/>
        </w:rPr>
        <w:t xml:space="preserve">rozporządzenia do </w:t>
      </w:r>
      <w:r w:rsidR="00BA0D76">
        <w:rPr>
          <w:i/>
          <w:iCs/>
        </w:rPr>
        <w:t>najnowszych</w:t>
      </w:r>
      <w:r w:rsidRPr="00FB408D">
        <w:rPr>
          <w:i/>
          <w:iCs/>
        </w:rPr>
        <w:t xml:space="preserve"> wymogów</w:t>
      </w:r>
      <w:r>
        <w:rPr>
          <w:i/>
          <w:iCs/>
        </w:rPr>
        <w:t xml:space="preserve"> Komisji</w:t>
      </w:r>
      <w:r w:rsidR="00AD096D">
        <w:rPr>
          <w:i/>
          <w:iCs/>
        </w:rPr>
        <w:t xml:space="preserve"> Europejskiej</w:t>
      </w:r>
      <w:r w:rsidRPr="00FB408D">
        <w:rPr>
          <w:i/>
          <w:iCs/>
        </w:rPr>
        <w:t xml:space="preserve">. Warto też jak najszybciej wykorzystać </w:t>
      </w:r>
      <w:r>
        <w:rPr>
          <w:i/>
          <w:iCs/>
        </w:rPr>
        <w:t xml:space="preserve">wszystkie wytyczne </w:t>
      </w:r>
      <w:r w:rsidR="00AD096D">
        <w:rPr>
          <w:i/>
          <w:iCs/>
        </w:rPr>
        <w:t xml:space="preserve">Komisji </w:t>
      </w:r>
      <w:r>
        <w:rPr>
          <w:i/>
          <w:iCs/>
        </w:rPr>
        <w:t xml:space="preserve">w pełnym zakresie </w:t>
      </w:r>
      <w:r>
        <w:rPr>
          <w:rFonts w:cstheme="minorHAnsi"/>
          <w:i/>
          <w:iCs/>
        </w:rPr>
        <w:t>−</w:t>
      </w:r>
      <w:r>
        <w:rPr>
          <w:i/>
          <w:iCs/>
        </w:rPr>
        <w:t xml:space="preserve"> </w:t>
      </w:r>
      <w:r w:rsidRPr="00FB408D">
        <w:rPr>
          <w:i/>
          <w:iCs/>
        </w:rPr>
        <w:t>do</w:t>
      </w:r>
      <w:r w:rsidRPr="008E47DC">
        <w:rPr>
          <w:i/>
          <w:iCs/>
        </w:rPr>
        <w:t xml:space="preserve"> aktualizacji krajowych strategii, standardów i programów wsparcia </w:t>
      </w:r>
      <w:r w:rsidRPr="00FB408D">
        <w:rPr>
          <w:i/>
          <w:iCs/>
        </w:rPr>
        <w:t xml:space="preserve">związanych z transformacją </w:t>
      </w:r>
      <w:r w:rsidR="00981F3A">
        <w:rPr>
          <w:i/>
          <w:iCs/>
        </w:rPr>
        <w:t xml:space="preserve">energetyczną </w:t>
      </w:r>
      <w:r w:rsidRPr="00FB408D">
        <w:rPr>
          <w:i/>
          <w:iCs/>
        </w:rPr>
        <w:t xml:space="preserve">budynków. </w:t>
      </w:r>
    </w:p>
    <w:p w14:paraId="78F63AA0" w14:textId="741FA22E" w:rsidR="00E668C7" w:rsidRDefault="00E668C7" w:rsidP="007C2766">
      <w:pPr>
        <w:spacing w:after="120" w:line="240" w:lineRule="auto"/>
        <w:rPr>
          <w:rFonts w:ascii="Calibri" w:eastAsia="Times New Roman" w:hAnsi="Calibri" w:cs="Calibri"/>
        </w:rPr>
      </w:pPr>
      <w:r w:rsidRPr="00711CE1">
        <w:rPr>
          <w:rFonts w:ascii="Calibri" w:eastAsia="Times New Roman" w:hAnsi="Calibri" w:cs="Calibri"/>
        </w:rPr>
        <w:t>[Źródło: PORT PC]</w:t>
      </w:r>
    </w:p>
    <w:p w14:paraId="4BF0FA79" w14:textId="77777777" w:rsidR="00CC7E9C" w:rsidRPr="00A03365" w:rsidRDefault="00CC7E9C" w:rsidP="007C2766">
      <w:pPr>
        <w:spacing w:after="120" w:line="240" w:lineRule="auto"/>
        <w:rPr>
          <w:rFonts w:ascii="Calibri" w:eastAsia="Times New Roman" w:hAnsi="Calibri" w:cs="Calibri"/>
          <w:b/>
          <w:bCs/>
          <w:color w:val="4472C4" w:themeColor="accent1"/>
          <w:kern w:val="0"/>
          <w:u w:val="single"/>
          <w:lang w:eastAsia="pl-PL"/>
          <w14:ligatures w14:val="none"/>
        </w:rPr>
      </w:pPr>
    </w:p>
    <w:p w14:paraId="0A62C26B" w14:textId="77777777" w:rsidR="00D77C47" w:rsidRPr="00711CE1" w:rsidRDefault="00D77C47" w:rsidP="00D77C47">
      <w:pPr>
        <w:rPr>
          <w:rFonts w:ascii="Calibri" w:eastAsia="Times New Roman" w:hAnsi="Calibri" w:cs="Calibri"/>
          <w:u w:val="single"/>
        </w:rPr>
      </w:pPr>
      <w:r w:rsidRPr="00711CE1">
        <w:rPr>
          <w:rFonts w:ascii="Calibri" w:eastAsia="Times New Roman" w:hAnsi="Calibri" w:cs="Calibri"/>
          <w:b/>
          <w:bCs/>
          <w:color w:val="000000"/>
          <w:u w:val="single"/>
        </w:rPr>
        <w:t>O PORT PC</w:t>
      </w:r>
    </w:p>
    <w:p w14:paraId="09C94795" w14:textId="77777777" w:rsidR="00D77C47" w:rsidRPr="00711CE1" w:rsidRDefault="00D77C47" w:rsidP="00D77C47">
      <w:pPr>
        <w:rPr>
          <w:rFonts w:ascii="Calibri" w:eastAsia="Times New Roman" w:hAnsi="Calibri" w:cs="Calibri"/>
          <w:i/>
          <w:iCs/>
          <w:color w:val="000000"/>
        </w:rPr>
      </w:pPr>
      <w:r w:rsidRPr="000D626F">
        <w:rPr>
          <w:rFonts w:cstheme="minorHAnsi"/>
          <w:b/>
          <w:bCs/>
          <w:i/>
          <w:iCs/>
        </w:rPr>
        <w:t>Polska Organizacja Rozwoju Pomp Ciepła</w:t>
      </w:r>
      <w:r w:rsidRPr="000D626F">
        <w:rPr>
          <w:rFonts w:cstheme="minorHAnsi"/>
          <w:i/>
          <w:iCs/>
        </w:rPr>
        <w:t xml:space="preserve"> (PORT PC) działa na polskim rynku jako stowarzyszenie branżowe od stycznia 2011 r. Jej najważniejszym celem jest wzmocnienie wizerunku technologii pomp ciepła oraz zapewnienie harmonijnego rozwoju polskiego rynku w tym obszarze − poprzez stworzenie systemu zarządzania jakością, opracowywanie i wdrażanie najwyższych standardów technicznych oraz certyfikowanie i przeprowadzanie profesjonalnych szkoleń technicznych (EUCERT) na poziomie uznanym w skali europejskiej. </w:t>
      </w:r>
      <w:r>
        <w:rPr>
          <w:rFonts w:cstheme="minorHAnsi"/>
        </w:rPr>
        <w:br/>
      </w:r>
      <w:r w:rsidRPr="000D626F">
        <w:rPr>
          <w:rFonts w:cstheme="minorHAnsi"/>
          <w:i/>
          <w:iCs/>
        </w:rPr>
        <w:t xml:space="preserve">PORT PC opracowała i wydała </w:t>
      </w:r>
      <w:r>
        <w:rPr>
          <w:rFonts w:cstheme="minorHAnsi"/>
          <w:i/>
          <w:iCs/>
        </w:rPr>
        <w:t>9</w:t>
      </w:r>
      <w:r w:rsidRPr="000D626F">
        <w:rPr>
          <w:rFonts w:cstheme="minorHAnsi"/>
          <w:i/>
          <w:iCs/>
        </w:rPr>
        <w:t xml:space="preserve"> części wytycznych branżowych dotyczących projektowania, wykonywania i odbioru instalacji z pompami ciepła. Współpracuje z wieloma organizacjami i instytucjami w Polsce i zagranicą, propagując idee poprawy efektywności energetycznej budynków, ochrony jakości powietrza i rozwoju rynku OZE. PORT PC od 2012 r. jest członkiem Europejskiego Stowarzyszenia Pomp Ciepła (EHPA). Ponadto współpracuje z takimi organizacjami branżowymi jak niemieckie BWP, stowarzyszenie inżynierów VDI czy </w:t>
      </w:r>
      <w:proofErr w:type="spellStart"/>
      <w:r w:rsidRPr="000D626F">
        <w:rPr>
          <w:rFonts w:cstheme="minorHAnsi"/>
          <w:i/>
          <w:iCs/>
        </w:rPr>
        <w:t>European</w:t>
      </w:r>
      <w:proofErr w:type="spellEnd"/>
      <w:r w:rsidRPr="000D626F">
        <w:rPr>
          <w:rFonts w:cstheme="minorHAnsi"/>
          <w:i/>
          <w:iCs/>
        </w:rPr>
        <w:t xml:space="preserve"> </w:t>
      </w:r>
      <w:proofErr w:type="spellStart"/>
      <w:r w:rsidRPr="000D626F">
        <w:rPr>
          <w:rFonts w:cstheme="minorHAnsi"/>
          <w:i/>
          <w:iCs/>
        </w:rPr>
        <w:t>Geothermal</w:t>
      </w:r>
      <w:proofErr w:type="spellEnd"/>
      <w:r w:rsidRPr="000D626F">
        <w:rPr>
          <w:rFonts w:cstheme="minorHAnsi"/>
          <w:i/>
          <w:iCs/>
        </w:rPr>
        <w:t xml:space="preserve"> Energy </w:t>
      </w:r>
      <w:proofErr w:type="spellStart"/>
      <w:r w:rsidRPr="000D626F">
        <w:rPr>
          <w:rFonts w:cstheme="minorHAnsi"/>
          <w:i/>
          <w:iCs/>
        </w:rPr>
        <w:t>Council</w:t>
      </w:r>
      <w:proofErr w:type="spellEnd"/>
      <w:r w:rsidRPr="000D626F">
        <w:rPr>
          <w:rFonts w:cstheme="minorHAnsi"/>
          <w:i/>
          <w:iCs/>
        </w:rPr>
        <w:t xml:space="preserve"> (EGEC). Jest też założycielem i sygnatariuszem Porozumienia Branżowego na rzecz Efektywności Energetycznej POBE (od 2018 r.), obejmującego 1</w:t>
      </w:r>
      <w:r>
        <w:rPr>
          <w:rFonts w:cstheme="minorHAnsi"/>
          <w:i/>
          <w:iCs/>
        </w:rPr>
        <w:t>2</w:t>
      </w:r>
      <w:r w:rsidRPr="000D626F">
        <w:rPr>
          <w:rFonts w:cstheme="minorHAnsi"/>
          <w:i/>
          <w:iCs/>
        </w:rPr>
        <w:t xml:space="preserve"> stowarzyszeń branżowych skupionych wokół efektywności energetycznej budynków. </w:t>
      </w:r>
      <w:r>
        <w:rPr>
          <w:rFonts w:cstheme="minorHAnsi"/>
          <w:i/>
          <w:iCs/>
        </w:rPr>
        <w:t>Od 2025 r. PORT PC jest członkiem Krajowej Izby Gospodarczej.</w:t>
      </w:r>
    </w:p>
    <w:p w14:paraId="09CBE843" w14:textId="77777777" w:rsidR="00D77C47" w:rsidRPr="00711CE1" w:rsidRDefault="00D77C47" w:rsidP="00D77C47">
      <w:pPr>
        <w:rPr>
          <w:rFonts w:ascii="Calibri" w:eastAsia="Times New Roman" w:hAnsi="Calibri" w:cs="Calibri"/>
          <w:i/>
          <w:iCs/>
          <w:color w:val="000000"/>
        </w:rPr>
      </w:pPr>
      <w:r w:rsidRPr="00711CE1">
        <w:rPr>
          <w:rFonts w:ascii="Calibri" w:eastAsia="Times New Roman" w:hAnsi="Calibri" w:cs="Calibri"/>
          <w:i/>
          <w:iCs/>
          <w:color w:val="000000"/>
        </w:rPr>
        <w:t xml:space="preserve">Więcej informacji o PORT PC na stronie: </w:t>
      </w:r>
      <w:hyperlink r:id="rId8" w:history="1">
        <w:r w:rsidRPr="00711CE1">
          <w:rPr>
            <w:rStyle w:val="Hipercze"/>
            <w:rFonts w:ascii="Calibri" w:eastAsia="Times New Roman" w:hAnsi="Calibri" w:cs="Calibri"/>
            <w:i/>
            <w:iCs/>
          </w:rPr>
          <w:t>www.portpc.pl</w:t>
        </w:r>
      </w:hyperlink>
    </w:p>
    <w:p w14:paraId="5B147355" w14:textId="77777777" w:rsidR="00E668C7" w:rsidRPr="00711CE1" w:rsidRDefault="00E668C7" w:rsidP="00352EF0">
      <w:pPr>
        <w:spacing w:line="240" w:lineRule="auto"/>
        <w:rPr>
          <w:rFonts w:ascii="Calibri" w:hAnsi="Calibri" w:cs="Calibri"/>
          <w:i/>
          <w:iCs/>
        </w:rPr>
      </w:pPr>
    </w:p>
    <w:sectPr w:rsidR="00E668C7" w:rsidRPr="00711CE1" w:rsidSect="004A41E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4D069" w14:textId="77777777" w:rsidR="00142DDD" w:rsidRDefault="00142DDD" w:rsidP="007E31FB">
      <w:pPr>
        <w:spacing w:after="0" w:line="240" w:lineRule="auto"/>
      </w:pPr>
      <w:r>
        <w:separator/>
      </w:r>
    </w:p>
  </w:endnote>
  <w:endnote w:type="continuationSeparator" w:id="0">
    <w:p w14:paraId="637BAB1D" w14:textId="77777777" w:rsidR="00142DDD" w:rsidRDefault="00142DDD" w:rsidP="007E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F1576" w14:textId="77777777" w:rsidR="00142DDD" w:rsidRDefault="00142DDD" w:rsidP="007E31FB">
      <w:pPr>
        <w:spacing w:after="0" w:line="240" w:lineRule="auto"/>
      </w:pPr>
      <w:r>
        <w:separator/>
      </w:r>
    </w:p>
  </w:footnote>
  <w:footnote w:type="continuationSeparator" w:id="0">
    <w:p w14:paraId="01E7C1A0" w14:textId="77777777" w:rsidR="00142DDD" w:rsidRDefault="00142DDD" w:rsidP="007E31FB">
      <w:pPr>
        <w:spacing w:after="0" w:line="240" w:lineRule="auto"/>
      </w:pPr>
      <w:r>
        <w:continuationSeparator/>
      </w:r>
    </w:p>
  </w:footnote>
  <w:footnote w:id="1">
    <w:p w14:paraId="5AD43CC2" w14:textId="0E6B599F" w:rsidR="007D5195" w:rsidRDefault="007D51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F84">
        <w:rPr>
          <w:i/>
          <w:iCs/>
        </w:rPr>
        <w:t xml:space="preserve">Dokument źródłowy: </w:t>
      </w:r>
      <w:proofErr w:type="spellStart"/>
      <w:r w:rsidRPr="00572F84">
        <w:rPr>
          <w:i/>
          <w:iCs/>
        </w:rPr>
        <w:t>Annex</w:t>
      </w:r>
      <w:proofErr w:type="spellEnd"/>
      <w:r w:rsidRPr="00572F84">
        <w:rPr>
          <w:i/>
          <w:iCs/>
        </w:rPr>
        <w:t xml:space="preserve"> 7; </w:t>
      </w:r>
      <w:proofErr w:type="spellStart"/>
      <w:r w:rsidRPr="00572F84">
        <w:rPr>
          <w:i/>
          <w:iCs/>
        </w:rPr>
        <w:t>Guidance</w:t>
      </w:r>
      <w:proofErr w:type="spellEnd"/>
      <w:r w:rsidRPr="00572F84">
        <w:rPr>
          <w:i/>
          <w:iCs/>
        </w:rPr>
        <w:t xml:space="preserve"> on Zero </w:t>
      </w:r>
      <w:proofErr w:type="spellStart"/>
      <w:r w:rsidRPr="00572F84">
        <w:rPr>
          <w:i/>
          <w:iCs/>
        </w:rPr>
        <w:t>Emission</w:t>
      </w:r>
      <w:proofErr w:type="spellEnd"/>
      <w:r w:rsidRPr="00572F84">
        <w:rPr>
          <w:i/>
          <w:iCs/>
        </w:rPr>
        <w:t xml:space="preserve"> </w:t>
      </w:r>
      <w:proofErr w:type="spellStart"/>
      <w:r w:rsidRPr="00572F84">
        <w:rPr>
          <w:i/>
          <w:iCs/>
        </w:rPr>
        <w:t>Buildings</w:t>
      </w:r>
      <w:proofErr w:type="spellEnd"/>
      <w:r w:rsidRPr="00572F84">
        <w:rPr>
          <w:i/>
          <w:iCs/>
        </w:rPr>
        <w:t xml:space="preserve"> jest częścią pakietu 13 wytycznych KE opublikowanych 30 czerwca 2025 r.</w:t>
      </w:r>
      <w:r w:rsidR="00981F3A">
        <w:rPr>
          <w:i/>
          <w:iCs/>
        </w:rPr>
        <w:t xml:space="preserve"> </w:t>
      </w:r>
      <w:r w:rsidR="00981F3A">
        <w:rPr>
          <w:i/>
          <w:iCs/>
        </w:rPr>
        <w:br/>
      </w:r>
      <w:hyperlink r:id="rId1" w:history="1">
        <w:r w:rsidR="00981F3A" w:rsidRPr="00DD7794">
          <w:rPr>
            <w:rStyle w:val="Hipercze"/>
          </w:rPr>
          <w:t>https://energy.ec.europa.eu/document/download/24516ed2-177f-474c-b86d-5124cca4ee69_en?filename=Zero-emission%20buildings%20%28Articles%207%20and%2011%29%20-%20annex%207.pdf&amp;prefLang=pl</w:t>
        </w:r>
      </w:hyperlink>
    </w:p>
    <w:p w14:paraId="5517D3D4" w14:textId="77777777" w:rsidR="00981F3A" w:rsidRDefault="00981F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F6DD" w14:textId="346BA3F4" w:rsidR="007E31FB" w:rsidRPr="007E31FB" w:rsidRDefault="007E31FB" w:rsidP="007E31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i/>
      </w:rPr>
    </w:pPr>
    <w:r w:rsidRPr="007E31FB">
      <w:rPr>
        <w:i/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3C4618D6" wp14:editId="7E9BCCC3">
          <wp:simplePos x="0" y="0"/>
          <wp:positionH relativeFrom="margin">
            <wp:posOffset>5158740</wp:posOffset>
          </wp:positionH>
          <wp:positionV relativeFrom="margin">
            <wp:posOffset>-848360</wp:posOffset>
          </wp:positionV>
          <wp:extent cx="1021080" cy="595630"/>
          <wp:effectExtent l="0" t="0" r="7620" b="0"/>
          <wp:wrapSquare wrapText="bothSides" distT="0" distB="0" distL="114300" distR="11430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1080" cy="5956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7E31FB">
      <w:rPr>
        <w:i/>
      </w:rPr>
      <w:t>Artykuł prasowy Polskiej Organizacji Rozwoju Technologii Pomp Ciepła</w:t>
    </w:r>
  </w:p>
  <w:p w14:paraId="117185A0" w14:textId="77777777" w:rsidR="007E31FB" w:rsidRDefault="007E31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4969"/>
    <w:multiLevelType w:val="hybridMultilevel"/>
    <w:tmpl w:val="06E4D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33240"/>
    <w:multiLevelType w:val="hybridMultilevel"/>
    <w:tmpl w:val="0A92EAC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482128E"/>
    <w:multiLevelType w:val="hybridMultilevel"/>
    <w:tmpl w:val="09FE9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B6169"/>
    <w:multiLevelType w:val="hybridMultilevel"/>
    <w:tmpl w:val="8EA03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0427"/>
    <w:multiLevelType w:val="hybridMultilevel"/>
    <w:tmpl w:val="FA8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006F"/>
    <w:multiLevelType w:val="hybridMultilevel"/>
    <w:tmpl w:val="BDF60FEA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15981736"/>
    <w:multiLevelType w:val="hybridMultilevel"/>
    <w:tmpl w:val="6B18E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D6632"/>
    <w:multiLevelType w:val="hybridMultilevel"/>
    <w:tmpl w:val="B77E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A1D71"/>
    <w:multiLevelType w:val="hybridMultilevel"/>
    <w:tmpl w:val="5B600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65ED2"/>
    <w:multiLevelType w:val="hybridMultilevel"/>
    <w:tmpl w:val="CC50AD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4F5615"/>
    <w:multiLevelType w:val="hybridMultilevel"/>
    <w:tmpl w:val="705C0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44C0"/>
    <w:multiLevelType w:val="multilevel"/>
    <w:tmpl w:val="7030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E77A23"/>
    <w:multiLevelType w:val="hybridMultilevel"/>
    <w:tmpl w:val="B302C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847AE"/>
    <w:multiLevelType w:val="hybridMultilevel"/>
    <w:tmpl w:val="2EE69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3C1A"/>
    <w:multiLevelType w:val="hybridMultilevel"/>
    <w:tmpl w:val="180A8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8165F"/>
    <w:multiLevelType w:val="hybridMultilevel"/>
    <w:tmpl w:val="CF184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A22"/>
    <w:multiLevelType w:val="hybridMultilevel"/>
    <w:tmpl w:val="B504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C0F8C"/>
    <w:multiLevelType w:val="hybridMultilevel"/>
    <w:tmpl w:val="3954C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02E7F"/>
    <w:multiLevelType w:val="hybridMultilevel"/>
    <w:tmpl w:val="0C5A5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74E46"/>
    <w:multiLevelType w:val="hybridMultilevel"/>
    <w:tmpl w:val="0EA63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543A4"/>
    <w:multiLevelType w:val="hybridMultilevel"/>
    <w:tmpl w:val="5A944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67FFE"/>
    <w:multiLevelType w:val="hybridMultilevel"/>
    <w:tmpl w:val="3190B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83A62"/>
    <w:multiLevelType w:val="hybridMultilevel"/>
    <w:tmpl w:val="1D4E9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028FC"/>
    <w:multiLevelType w:val="hybridMultilevel"/>
    <w:tmpl w:val="0EAE6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90E92"/>
    <w:multiLevelType w:val="hybridMultilevel"/>
    <w:tmpl w:val="F920D14E"/>
    <w:lvl w:ilvl="0" w:tplc="3612A9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D392C"/>
    <w:multiLevelType w:val="hybridMultilevel"/>
    <w:tmpl w:val="FAA88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F22D1"/>
    <w:multiLevelType w:val="hybridMultilevel"/>
    <w:tmpl w:val="D0C0F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04712"/>
    <w:multiLevelType w:val="hybridMultilevel"/>
    <w:tmpl w:val="A0402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21DCC"/>
    <w:multiLevelType w:val="hybridMultilevel"/>
    <w:tmpl w:val="9230A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983D2E"/>
    <w:multiLevelType w:val="hybridMultilevel"/>
    <w:tmpl w:val="B6D47870"/>
    <w:lvl w:ilvl="0" w:tplc="EC1C9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8D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0A4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C0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C0D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602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EC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8AC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82E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0CE0844"/>
    <w:multiLevelType w:val="hybridMultilevel"/>
    <w:tmpl w:val="89F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501E3"/>
    <w:multiLevelType w:val="hybridMultilevel"/>
    <w:tmpl w:val="357E7EEC"/>
    <w:lvl w:ilvl="0" w:tplc="A8CAB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81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D09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4CB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3C4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269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C41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E0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04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B5D1F37"/>
    <w:multiLevelType w:val="hybridMultilevel"/>
    <w:tmpl w:val="78364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8277E"/>
    <w:multiLevelType w:val="hybridMultilevel"/>
    <w:tmpl w:val="AAD2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D2285"/>
    <w:multiLevelType w:val="hybridMultilevel"/>
    <w:tmpl w:val="04801FEE"/>
    <w:lvl w:ilvl="0" w:tplc="39C21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28F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ACD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906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E85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E7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818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DCF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2D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C047557"/>
    <w:multiLevelType w:val="hybridMultilevel"/>
    <w:tmpl w:val="D236E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E00AE"/>
    <w:multiLevelType w:val="multilevel"/>
    <w:tmpl w:val="A7E2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E74B45"/>
    <w:multiLevelType w:val="hybridMultilevel"/>
    <w:tmpl w:val="BFA00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706790">
    <w:abstractNumId w:val="33"/>
  </w:num>
  <w:num w:numId="2" w16cid:durableId="1363751206">
    <w:abstractNumId w:val="9"/>
  </w:num>
  <w:num w:numId="3" w16cid:durableId="1293485473">
    <w:abstractNumId w:val="31"/>
  </w:num>
  <w:num w:numId="4" w16cid:durableId="1795295051">
    <w:abstractNumId w:val="34"/>
  </w:num>
  <w:num w:numId="5" w16cid:durableId="420372935">
    <w:abstractNumId w:val="30"/>
  </w:num>
  <w:num w:numId="6" w16cid:durableId="450830101">
    <w:abstractNumId w:val="4"/>
  </w:num>
  <w:num w:numId="7" w16cid:durableId="1175733142">
    <w:abstractNumId w:val="8"/>
  </w:num>
  <w:num w:numId="8" w16cid:durableId="436024588">
    <w:abstractNumId w:val="26"/>
  </w:num>
  <w:num w:numId="9" w16cid:durableId="1337419379">
    <w:abstractNumId w:val="29"/>
  </w:num>
  <w:num w:numId="10" w16cid:durableId="1952737967">
    <w:abstractNumId w:val="35"/>
  </w:num>
  <w:num w:numId="11" w16cid:durableId="1828739278">
    <w:abstractNumId w:val="5"/>
  </w:num>
  <w:num w:numId="12" w16cid:durableId="472218128">
    <w:abstractNumId w:val="10"/>
  </w:num>
  <w:num w:numId="13" w16cid:durableId="1139105583">
    <w:abstractNumId w:val="0"/>
  </w:num>
  <w:num w:numId="14" w16cid:durableId="1754668865">
    <w:abstractNumId w:val="12"/>
  </w:num>
  <w:num w:numId="15" w16cid:durableId="1592884275">
    <w:abstractNumId w:val="7"/>
  </w:num>
  <w:num w:numId="16" w16cid:durableId="473186313">
    <w:abstractNumId w:val="32"/>
  </w:num>
  <w:num w:numId="17" w16cid:durableId="622346489">
    <w:abstractNumId w:val="23"/>
  </w:num>
  <w:num w:numId="18" w16cid:durableId="684525088">
    <w:abstractNumId w:val="24"/>
  </w:num>
  <w:num w:numId="19" w16cid:durableId="804543925">
    <w:abstractNumId w:val="19"/>
  </w:num>
  <w:num w:numId="20" w16cid:durableId="2069375823">
    <w:abstractNumId w:val="18"/>
  </w:num>
  <w:num w:numId="21" w16cid:durableId="1917281955">
    <w:abstractNumId w:val="25"/>
  </w:num>
  <w:num w:numId="22" w16cid:durableId="501430325">
    <w:abstractNumId w:val="2"/>
  </w:num>
  <w:num w:numId="23" w16cid:durableId="992025521">
    <w:abstractNumId w:val="3"/>
  </w:num>
  <w:num w:numId="24" w16cid:durableId="1360350664">
    <w:abstractNumId w:val="13"/>
  </w:num>
  <w:num w:numId="25" w16cid:durableId="445731553">
    <w:abstractNumId w:val="27"/>
  </w:num>
  <w:num w:numId="26" w16cid:durableId="743529170">
    <w:abstractNumId w:val="37"/>
  </w:num>
  <w:num w:numId="27" w16cid:durableId="213733074">
    <w:abstractNumId w:val="6"/>
  </w:num>
  <w:num w:numId="28" w16cid:durableId="832650619">
    <w:abstractNumId w:val="22"/>
  </w:num>
  <w:num w:numId="29" w16cid:durableId="921260932">
    <w:abstractNumId w:val="14"/>
  </w:num>
  <w:num w:numId="30" w16cid:durableId="63525814">
    <w:abstractNumId w:val="15"/>
  </w:num>
  <w:num w:numId="31" w16cid:durableId="1137839269">
    <w:abstractNumId w:val="21"/>
  </w:num>
  <w:num w:numId="32" w16cid:durableId="188035786">
    <w:abstractNumId w:val="16"/>
  </w:num>
  <w:num w:numId="33" w16cid:durableId="1162085942">
    <w:abstractNumId w:val="1"/>
  </w:num>
  <w:num w:numId="34" w16cid:durableId="1836719693">
    <w:abstractNumId w:val="17"/>
  </w:num>
  <w:num w:numId="35" w16cid:durableId="248272182">
    <w:abstractNumId w:val="20"/>
  </w:num>
  <w:num w:numId="36" w16cid:durableId="602228912">
    <w:abstractNumId w:val="28"/>
  </w:num>
  <w:num w:numId="37" w16cid:durableId="1701738887">
    <w:abstractNumId w:val="11"/>
  </w:num>
  <w:num w:numId="38" w16cid:durableId="85526606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E5"/>
    <w:rsid w:val="00001968"/>
    <w:rsid w:val="00004360"/>
    <w:rsid w:val="00011531"/>
    <w:rsid w:val="00013BD9"/>
    <w:rsid w:val="00016D7D"/>
    <w:rsid w:val="0001788F"/>
    <w:rsid w:val="000439C0"/>
    <w:rsid w:val="000450B5"/>
    <w:rsid w:val="00052226"/>
    <w:rsid w:val="00052450"/>
    <w:rsid w:val="000742EE"/>
    <w:rsid w:val="00080C34"/>
    <w:rsid w:val="00081FEF"/>
    <w:rsid w:val="000844D8"/>
    <w:rsid w:val="00086DE2"/>
    <w:rsid w:val="00096A1F"/>
    <w:rsid w:val="000A22A7"/>
    <w:rsid w:val="000B23A1"/>
    <w:rsid w:val="000B2E2C"/>
    <w:rsid w:val="000B4F6B"/>
    <w:rsid w:val="000C023D"/>
    <w:rsid w:val="000E7DA0"/>
    <w:rsid w:val="000F4796"/>
    <w:rsid w:val="000F57DE"/>
    <w:rsid w:val="000F64B9"/>
    <w:rsid w:val="000F6A3A"/>
    <w:rsid w:val="00107E02"/>
    <w:rsid w:val="00111EE4"/>
    <w:rsid w:val="00134D6C"/>
    <w:rsid w:val="00142DDD"/>
    <w:rsid w:val="001455C2"/>
    <w:rsid w:val="0015638E"/>
    <w:rsid w:val="00156C56"/>
    <w:rsid w:val="001730B7"/>
    <w:rsid w:val="0017591E"/>
    <w:rsid w:val="001765B7"/>
    <w:rsid w:val="00180F8C"/>
    <w:rsid w:val="00184461"/>
    <w:rsid w:val="001A4A28"/>
    <w:rsid w:val="001A613B"/>
    <w:rsid w:val="001B6405"/>
    <w:rsid w:val="001C7C17"/>
    <w:rsid w:val="001D1DDD"/>
    <w:rsid w:val="001D35D5"/>
    <w:rsid w:val="001D61F7"/>
    <w:rsid w:val="001D64F2"/>
    <w:rsid w:val="001E36C9"/>
    <w:rsid w:val="001F0A38"/>
    <w:rsid w:val="001F40E2"/>
    <w:rsid w:val="001F4297"/>
    <w:rsid w:val="0020506B"/>
    <w:rsid w:val="00205E81"/>
    <w:rsid w:val="00206A4A"/>
    <w:rsid w:val="00217DA6"/>
    <w:rsid w:val="00232F89"/>
    <w:rsid w:val="0023797D"/>
    <w:rsid w:val="00251379"/>
    <w:rsid w:val="00253551"/>
    <w:rsid w:val="0026330E"/>
    <w:rsid w:val="00275328"/>
    <w:rsid w:val="00276A00"/>
    <w:rsid w:val="002978C1"/>
    <w:rsid w:val="002A5802"/>
    <w:rsid w:val="002A5ED5"/>
    <w:rsid w:val="002B582C"/>
    <w:rsid w:val="002C546E"/>
    <w:rsid w:val="002D4DD5"/>
    <w:rsid w:val="002E4819"/>
    <w:rsid w:val="002E573D"/>
    <w:rsid w:val="002F2B18"/>
    <w:rsid w:val="00300E22"/>
    <w:rsid w:val="003012D1"/>
    <w:rsid w:val="00301C7D"/>
    <w:rsid w:val="00312F69"/>
    <w:rsid w:val="003155A7"/>
    <w:rsid w:val="00332A5C"/>
    <w:rsid w:val="00334057"/>
    <w:rsid w:val="00335337"/>
    <w:rsid w:val="00337206"/>
    <w:rsid w:val="00340F7F"/>
    <w:rsid w:val="0034219D"/>
    <w:rsid w:val="00351997"/>
    <w:rsid w:val="00352EF0"/>
    <w:rsid w:val="00362EAA"/>
    <w:rsid w:val="00363FC2"/>
    <w:rsid w:val="00366254"/>
    <w:rsid w:val="00367539"/>
    <w:rsid w:val="0037669F"/>
    <w:rsid w:val="003820D6"/>
    <w:rsid w:val="00382629"/>
    <w:rsid w:val="0039105F"/>
    <w:rsid w:val="003A2470"/>
    <w:rsid w:val="003B16AF"/>
    <w:rsid w:val="003B1CE0"/>
    <w:rsid w:val="003B3C29"/>
    <w:rsid w:val="003B60C2"/>
    <w:rsid w:val="003C3C21"/>
    <w:rsid w:val="003C564B"/>
    <w:rsid w:val="003C7210"/>
    <w:rsid w:val="003D0594"/>
    <w:rsid w:val="003D3171"/>
    <w:rsid w:val="003E4415"/>
    <w:rsid w:val="003E76EC"/>
    <w:rsid w:val="003F444B"/>
    <w:rsid w:val="004044FA"/>
    <w:rsid w:val="00406ABE"/>
    <w:rsid w:val="00410ABD"/>
    <w:rsid w:val="004157C1"/>
    <w:rsid w:val="004240A9"/>
    <w:rsid w:val="0043480C"/>
    <w:rsid w:val="0045535A"/>
    <w:rsid w:val="00455C01"/>
    <w:rsid w:val="00465A81"/>
    <w:rsid w:val="00472168"/>
    <w:rsid w:val="004768BA"/>
    <w:rsid w:val="004776FE"/>
    <w:rsid w:val="00486D9E"/>
    <w:rsid w:val="004876C7"/>
    <w:rsid w:val="0049073C"/>
    <w:rsid w:val="00495C0A"/>
    <w:rsid w:val="0049660C"/>
    <w:rsid w:val="004A2B3A"/>
    <w:rsid w:val="004A41E5"/>
    <w:rsid w:val="004A4284"/>
    <w:rsid w:val="004A5DD7"/>
    <w:rsid w:val="004A7F27"/>
    <w:rsid w:val="004B1C00"/>
    <w:rsid w:val="004B4147"/>
    <w:rsid w:val="004B643A"/>
    <w:rsid w:val="004E0E48"/>
    <w:rsid w:val="004F44EF"/>
    <w:rsid w:val="00501E1B"/>
    <w:rsid w:val="00501E36"/>
    <w:rsid w:val="005022FD"/>
    <w:rsid w:val="00502500"/>
    <w:rsid w:val="005113CC"/>
    <w:rsid w:val="005135F4"/>
    <w:rsid w:val="00514C12"/>
    <w:rsid w:val="00524DEA"/>
    <w:rsid w:val="0052622A"/>
    <w:rsid w:val="00560A3E"/>
    <w:rsid w:val="00564C46"/>
    <w:rsid w:val="00570B23"/>
    <w:rsid w:val="00571EB7"/>
    <w:rsid w:val="00572F84"/>
    <w:rsid w:val="0057593C"/>
    <w:rsid w:val="00585E55"/>
    <w:rsid w:val="00586FFE"/>
    <w:rsid w:val="00593779"/>
    <w:rsid w:val="005A2D8A"/>
    <w:rsid w:val="005B7332"/>
    <w:rsid w:val="005C0549"/>
    <w:rsid w:val="005C2788"/>
    <w:rsid w:val="005C37BA"/>
    <w:rsid w:val="005C3FB7"/>
    <w:rsid w:val="005C54C0"/>
    <w:rsid w:val="005C6B2A"/>
    <w:rsid w:val="005E401A"/>
    <w:rsid w:val="005F44C9"/>
    <w:rsid w:val="00601DED"/>
    <w:rsid w:val="00602A6F"/>
    <w:rsid w:val="0062629D"/>
    <w:rsid w:val="00626C86"/>
    <w:rsid w:val="00635E09"/>
    <w:rsid w:val="00643177"/>
    <w:rsid w:val="00646603"/>
    <w:rsid w:val="00651879"/>
    <w:rsid w:val="00652B02"/>
    <w:rsid w:val="00654178"/>
    <w:rsid w:val="006559FE"/>
    <w:rsid w:val="0065750E"/>
    <w:rsid w:val="00663F63"/>
    <w:rsid w:val="00674B0A"/>
    <w:rsid w:val="00676831"/>
    <w:rsid w:val="00680975"/>
    <w:rsid w:val="0068448F"/>
    <w:rsid w:val="00684CDF"/>
    <w:rsid w:val="00687C41"/>
    <w:rsid w:val="006943DB"/>
    <w:rsid w:val="006A7285"/>
    <w:rsid w:val="006A78E5"/>
    <w:rsid w:val="006B052B"/>
    <w:rsid w:val="006B0D45"/>
    <w:rsid w:val="006B14F3"/>
    <w:rsid w:val="006B1EDC"/>
    <w:rsid w:val="006D0048"/>
    <w:rsid w:val="006D0EDB"/>
    <w:rsid w:val="006D30AB"/>
    <w:rsid w:val="006D3A2A"/>
    <w:rsid w:val="006D3A9D"/>
    <w:rsid w:val="006D684B"/>
    <w:rsid w:val="006E183F"/>
    <w:rsid w:val="006E416B"/>
    <w:rsid w:val="006E7571"/>
    <w:rsid w:val="006F4725"/>
    <w:rsid w:val="006F5220"/>
    <w:rsid w:val="006F78B5"/>
    <w:rsid w:val="00707113"/>
    <w:rsid w:val="00711CE1"/>
    <w:rsid w:val="007209A5"/>
    <w:rsid w:val="00736C40"/>
    <w:rsid w:val="00742F36"/>
    <w:rsid w:val="00750918"/>
    <w:rsid w:val="00756588"/>
    <w:rsid w:val="00763713"/>
    <w:rsid w:val="0076393F"/>
    <w:rsid w:val="0077124A"/>
    <w:rsid w:val="00794517"/>
    <w:rsid w:val="007A5AD1"/>
    <w:rsid w:val="007A657B"/>
    <w:rsid w:val="007A6637"/>
    <w:rsid w:val="007B401A"/>
    <w:rsid w:val="007C0C2E"/>
    <w:rsid w:val="007C2766"/>
    <w:rsid w:val="007D1CA0"/>
    <w:rsid w:val="007D5195"/>
    <w:rsid w:val="007E183B"/>
    <w:rsid w:val="007E31FB"/>
    <w:rsid w:val="007F1E68"/>
    <w:rsid w:val="00825993"/>
    <w:rsid w:val="00827729"/>
    <w:rsid w:val="00851547"/>
    <w:rsid w:val="0085163B"/>
    <w:rsid w:val="00851EEC"/>
    <w:rsid w:val="008520A8"/>
    <w:rsid w:val="00854861"/>
    <w:rsid w:val="00856FDD"/>
    <w:rsid w:val="00857AB7"/>
    <w:rsid w:val="008609F2"/>
    <w:rsid w:val="0088164B"/>
    <w:rsid w:val="0088292A"/>
    <w:rsid w:val="008878D3"/>
    <w:rsid w:val="00891648"/>
    <w:rsid w:val="00894E6F"/>
    <w:rsid w:val="00895716"/>
    <w:rsid w:val="008A13CD"/>
    <w:rsid w:val="008A6E82"/>
    <w:rsid w:val="008B2A4F"/>
    <w:rsid w:val="008C5DF4"/>
    <w:rsid w:val="008D2EE4"/>
    <w:rsid w:val="008D5F14"/>
    <w:rsid w:val="008F2F6F"/>
    <w:rsid w:val="008F43AD"/>
    <w:rsid w:val="00907AAE"/>
    <w:rsid w:val="00910CDF"/>
    <w:rsid w:val="00913D8B"/>
    <w:rsid w:val="00916CCA"/>
    <w:rsid w:val="009218C4"/>
    <w:rsid w:val="00923881"/>
    <w:rsid w:val="00926CC5"/>
    <w:rsid w:val="00931862"/>
    <w:rsid w:val="0096200E"/>
    <w:rsid w:val="009710E9"/>
    <w:rsid w:val="009731EB"/>
    <w:rsid w:val="00974103"/>
    <w:rsid w:val="009768DE"/>
    <w:rsid w:val="009776F3"/>
    <w:rsid w:val="00981A2E"/>
    <w:rsid w:val="00981F3A"/>
    <w:rsid w:val="009830E8"/>
    <w:rsid w:val="00983FCF"/>
    <w:rsid w:val="00984A71"/>
    <w:rsid w:val="0099011C"/>
    <w:rsid w:val="0099346B"/>
    <w:rsid w:val="009A494E"/>
    <w:rsid w:val="009A7FD6"/>
    <w:rsid w:val="009B3C4A"/>
    <w:rsid w:val="009C1896"/>
    <w:rsid w:val="009C3331"/>
    <w:rsid w:val="009C781A"/>
    <w:rsid w:val="009E30E4"/>
    <w:rsid w:val="009E5D7E"/>
    <w:rsid w:val="009F0188"/>
    <w:rsid w:val="009F35E5"/>
    <w:rsid w:val="00A0297A"/>
    <w:rsid w:val="00A03365"/>
    <w:rsid w:val="00A05FC3"/>
    <w:rsid w:val="00A105ED"/>
    <w:rsid w:val="00A138E5"/>
    <w:rsid w:val="00A20D4E"/>
    <w:rsid w:val="00A21B9D"/>
    <w:rsid w:val="00A24FCE"/>
    <w:rsid w:val="00A250DE"/>
    <w:rsid w:val="00A4034D"/>
    <w:rsid w:val="00A47DC5"/>
    <w:rsid w:val="00A55C18"/>
    <w:rsid w:val="00A6280A"/>
    <w:rsid w:val="00A64D55"/>
    <w:rsid w:val="00A668EA"/>
    <w:rsid w:val="00A701A7"/>
    <w:rsid w:val="00A84738"/>
    <w:rsid w:val="00A85990"/>
    <w:rsid w:val="00A91B82"/>
    <w:rsid w:val="00A92864"/>
    <w:rsid w:val="00A936E3"/>
    <w:rsid w:val="00A943F0"/>
    <w:rsid w:val="00A961B8"/>
    <w:rsid w:val="00AA5277"/>
    <w:rsid w:val="00AB1669"/>
    <w:rsid w:val="00AB66A7"/>
    <w:rsid w:val="00AD096D"/>
    <w:rsid w:val="00AE1E12"/>
    <w:rsid w:val="00AE7425"/>
    <w:rsid w:val="00AE7D84"/>
    <w:rsid w:val="00B0278B"/>
    <w:rsid w:val="00B04E33"/>
    <w:rsid w:val="00B10E1C"/>
    <w:rsid w:val="00B16F74"/>
    <w:rsid w:val="00B220AE"/>
    <w:rsid w:val="00B25C14"/>
    <w:rsid w:val="00B31C69"/>
    <w:rsid w:val="00B353AE"/>
    <w:rsid w:val="00B35601"/>
    <w:rsid w:val="00B35922"/>
    <w:rsid w:val="00B44ED5"/>
    <w:rsid w:val="00B454FE"/>
    <w:rsid w:val="00B47B60"/>
    <w:rsid w:val="00B6120E"/>
    <w:rsid w:val="00B64EF9"/>
    <w:rsid w:val="00B70A27"/>
    <w:rsid w:val="00B70CBD"/>
    <w:rsid w:val="00B7235D"/>
    <w:rsid w:val="00B75F10"/>
    <w:rsid w:val="00B856C0"/>
    <w:rsid w:val="00B90257"/>
    <w:rsid w:val="00B91C4E"/>
    <w:rsid w:val="00B95B55"/>
    <w:rsid w:val="00BA0D76"/>
    <w:rsid w:val="00BA1BDF"/>
    <w:rsid w:val="00BA32DF"/>
    <w:rsid w:val="00BB20AC"/>
    <w:rsid w:val="00BB36C8"/>
    <w:rsid w:val="00BB41CF"/>
    <w:rsid w:val="00BC6ED1"/>
    <w:rsid w:val="00BD0E12"/>
    <w:rsid w:val="00BD300D"/>
    <w:rsid w:val="00BF6A08"/>
    <w:rsid w:val="00C41043"/>
    <w:rsid w:val="00C4432F"/>
    <w:rsid w:val="00C614ED"/>
    <w:rsid w:val="00C617F7"/>
    <w:rsid w:val="00C66B8E"/>
    <w:rsid w:val="00C777D8"/>
    <w:rsid w:val="00C8188D"/>
    <w:rsid w:val="00C82180"/>
    <w:rsid w:val="00C82A32"/>
    <w:rsid w:val="00C87DFF"/>
    <w:rsid w:val="00C87FC9"/>
    <w:rsid w:val="00C9060C"/>
    <w:rsid w:val="00CC597D"/>
    <w:rsid w:val="00CC7E9C"/>
    <w:rsid w:val="00CD2610"/>
    <w:rsid w:val="00CF1524"/>
    <w:rsid w:val="00D215F9"/>
    <w:rsid w:val="00D33D53"/>
    <w:rsid w:val="00D41458"/>
    <w:rsid w:val="00D4591F"/>
    <w:rsid w:val="00D52DF0"/>
    <w:rsid w:val="00D611C7"/>
    <w:rsid w:val="00D621CD"/>
    <w:rsid w:val="00D651D8"/>
    <w:rsid w:val="00D7571F"/>
    <w:rsid w:val="00D775E5"/>
    <w:rsid w:val="00D77C47"/>
    <w:rsid w:val="00D83CD3"/>
    <w:rsid w:val="00D84238"/>
    <w:rsid w:val="00D84880"/>
    <w:rsid w:val="00D87B02"/>
    <w:rsid w:val="00D91575"/>
    <w:rsid w:val="00D94FFA"/>
    <w:rsid w:val="00DA23E5"/>
    <w:rsid w:val="00DA35A3"/>
    <w:rsid w:val="00DA41BB"/>
    <w:rsid w:val="00DC2CFD"/>
    <w:rsid w:val="00DD59D2"/>
    <w:rsid w:val="00DE2848"/>
    <w:rsid w:val="00DE2E52"/>
    <w:rsid w:val="00DF7E30"/>
    <w:rsid w:val="00E022D3"/>
    <w:rsid w:val="00E0538D"/>
    <w:rsid w:val="00E13043"/>
    <w:rsid w:val="00E151F0"/>
    <w:rsid w:val="00E246AB"/>
    <w:rsid w:val="00E3189D"/>
    <w:rsid w:val="00E36DB0"/>
    <w:rsid w:val="00E45D8E"/>
    <w:rsid w:val="00E463EC"/>
    <w:rsid w:val="00E5788E"/>
    <w:rsid w:val="00E579DB"/>
    <w:rsid w:val="00E61577"/>
    <w:rsid w:val="00E65CE1"/>
    <w:rsid w:val="00E668C7"/>
    <w:rsid w:val="00E66FDA"/>
    <w:rsid w:val="00E84E37"/>
    <w:rsid w:val="00E8730C"/>
    <w:rsid w:val="00E917F3"/>
    <w:rsid w:val="00E95563"/>
    <w:rsid w:val="00E96927"/>
    <w:rsid w:val="00EB0924"/>
    <w:rsid w:val="00EB1210"/>
    <w:rsid w:val="00EE2456"/>
    <w:rsid w:val="00EE760C"/>
    <w:rsid w:val="00F02766"/>
    <w:rsid w:val="00F05DF4"/>
    <w:rsid w:val="00F10BF9"/>
    <w:rsid w:val="00F17ACD"/>
    <w:rsid w:val="00F211F1"/>
    <w:rsid w:val="00F21E11"/>
    <w:rsid w:val="00F35D85"/>
    <w:rsid w:val="00F44EC0"/>
    <w:rsid w:val="00F51005"/>
    <w:rsid w:val="00F51B06"/>
    <w:rsid w:val="00F52AF4"/>
    <w:rsid w:val="00F52FDD"/>
    <w:rsid w:val="00F579BA"/>
    <w:rsid w:val="00F61DBA"/>
    <w:rsid w:val="00F6480F"/>
    <w:rsid w:val="00F65B9F"/>
    <w:rsid w:val="00F70E38"/>
    <w:rsid w:val="00F733EA"/>
    <w:rsid w:val="00F73E2E"/>
    <w:rsid w:val="00F76AB7"/>
    <w:rsid w:val="00F76DAF"/>
    <w:rsid w:val="00F7787B"/>
    <w:rsid w:val="00F806EE"/>
    <w:rsid w:val="00F84445"/>
    <w:rsid w:val="00F85CEE"/>
    <w:rsid w:val="00F904AE"/>
    <w:rsid w:val="00F90CE9"/>
    <w:rsid w:val="00F92F6E"/>
    <w:rsid w:val="00F94496"/>
    <w:rsid w:val="00FA7B00"/>
    <w:rsid w:val="00FB1D9C"/>
    <w:rsid w:val="00FB36A5"/>
    <w:rsid w:val="00FC1B6D"/>
    <w:rsid w:val="00FC2BCE"/>
    <w:rsid w:val="00FC7098"/>
    <w:rsid w:val="00FD28BD"/>
    <w:rsid w:val="00FD719F"/>
    <w:rsid w:val="00FE0842"/>
    <w:rsid w:val="00FE5BFA"/>
    <w:rsid w:val="00FE7D1D"/>
    <w:rsid w:val="00FF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FC2C"/>
  <w15:chartTrackingRefBased/>
  <w15:docId w15:val="{201FA9E4-68F2-4EE2-AE12-D5FC079C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C3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4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6D9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C3C2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table" w:styleId="Tabela-Siatka">
    <w:name w:val="Table Grid"/>
    <w:basedOn w:val="Standardowy"/>
    <w:uiPriority w:val="39"/>
    <w:rsid w:val="003D0594"/>
    <w:pPr>
      <w:spacing w:after="0" w:line="240" w:lineRule="auto"/>
    </w:pPr>
    <w:rPr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4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4E6F"/>
    <w:pPr>
      <w:spacing w:after="37" w:line="240" w:lineRule="auto"/>
      <w:ind w:left="730" w:hanging="37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E6F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1FB"/>
  </w:style>
  <w:style w:type="paragraph" w:styleId="Stopka">
    <w:name w:val="footer"/>
    <w:basedOn w:val="Normalny"/>
    <w:link w:val="StopkaZnak"/>
    <w:uiPriority w:val="99"/>
    <w:unhideWhenUsed/>
    <w:rsid w:val="007E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1FB"/>
  </w:style>
  <w:style w:type="character" w:styleId="Hipercze">
    <w:name w:val="Hyperlink"/>
    <w:basedOn w:val="Domylnaczcionkaakapitu"/>
    <w:uiPriority w:val="99"/>
    <w:unhideWhenUsed/>
    <w:rsid w:val="008259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993"/>
    <w:rPr>
      <w:color w:val="605E5C"/>
      <w:shd w:val="clear" w:color="auto" w:fill="E1DFDD"/>
    </w:rPr>
  </w:style>
  <w:style w:type="paragraph" w:customStyle="1" w:styleId="Default">
    <w:name w:val="Default"/>
    <w:rsid w:val="009218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961B8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A55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A55C18"/>
    <w:rPr>
      <w:b/>
      <w:bCs/>
    </w:rPr>
  </w:style>
  <w:style w:type="character" w:styleId="Uwydatnienie">
    <w:name w:val="Emphasis"/>
    <w:basedOn w:val="Domylnaczcionkaakapitu"/>
    <w:uiPriority w:val="20"/>
    <w:qFormat/>
    <w:rsid w:val="0023797D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4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r-b88u0q">
    <w:name w:val="r-b88u0q"/>
    <w:basedOn w:val="Domylnaczcionkaakapitu"/>
    <w:rsid w:val="007C27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C40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C40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51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51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8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6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1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2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1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2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7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p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nergy.ec.europa.eu/document/download/24516ed2-177f-474c-b86d-5124cca4ee69_en?filename=Zero-emission%20buildings%20%28Articles%207%20and%2011%29%20-%20annex%207.pdf&amp;prefLang=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D478E-E712-42C2-A747-DB6BC4DA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1267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Jania</dc:creator>
  <cp:keywords/>
  <dc:description/>
  <cp:lastModifiedBy>Joanna Jania</cp:lastModifiedBy>
  <cp:revision>3</cp:revision>
  <dcterms:created xsi:type="dcterms:W3CDTF">2025-07-01T16:01:00Z</dcterms:created>
  <dcterms:modified xsi:type="dcterms:W3CDTF">2025-07-01T16:12:00Z</dcterms:modified>
</cp:coreProperties>
</file>